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F1CA" w14:textId="77777777" w:rsidR="001B5623" w:rsidRPr="006C3EF9" w:rsidRDefault="001B5623" w:rsidP="000C7153">
      <w:pPr>
        <w:spacing w:line="276" w:lineRule="auto"/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  <w:r w:rsidRPr="006C3EF9">
        <w:rPr>
          <w:rFonts w:cstheme="minorHAnsi"/>
          <w:b/>
          <w:bCs/>
          <w:color w:val="002677"/>
          <w:sz w:val="28"/>
          <w:szCs w:val="28"/>
          <w:lang w:val="el-GR"/>
        </w:rPr>
        <w:t>ΔΕΛΤΙΟ ΤΥΠΟΥ</w:t>
      </w:r>
    </w:p>
    <w:p w14:paraId="3A3DA16F" w14:textId="77777777" w:rsidR="001B5623" w:rsidRPr="006C3EF9" w:rsidRDefault="001B5623" w:rsidP="000C7153">
      <w:pPr>
        <w:spacing w:line="276" w:lineRule="auto"/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</w:p>
    <w:p w14:paraId="62560741" w14:textId="77777777" w:rsidR="006B2955" w:rsidRPr="006B2955" w:rsidRDefault="0091288D" w:rsidP="006B2955">
      <w:pPr>
        <w:spacing w:line="276" w:lineRule="auto"/>
        <w:ind w:right="5"/>
        <w:jc w:val="both"/>
        <w:rPr>
          <w:rFonts w:cstheme="minorHAnsi"/>
          <w:b/>
          <w:bCs/>
          <w:color w:val="002677"/>
          <w:sz w:val="28"/>
          <w:szCs w:val="28"/>
          <w:lang w:val="el-GR"/>
        </w:rPr>
      </w:pPr>
      <w:r w:rsidRPr="006C3EF9">
        <w:rPr>
          <w:rFonts w:cstheme="minorHAnsi"/>
          <w:b/>
          <w:color w:val="002677"/>
          <w:sz w:val="28"/>
          <w:szCs w:val="28"/>
          <w:lang w:val="el-GR"/>
        </w:rPr>
        <w:t>Αποτελέσματα</w:t>
      </w:r>
      <w:r w:rsidR="00AD40FF">
        <w:rPr>
          <w:rFonts w:cstheme="minorHAnsi"/>
          <w:b/>
          <w:color w:val="002677"/>
          <w:sz w:val="28"/>
          <w:szCs w:val="28"/>
          <w:lang w:val="el-GR"/>
        </w:rPr>
        <w:t xml:space="preserve"> </w:t>
      </w:r>
      <w:r w:rsidR="006B2955" w:rsidRPr="006B2955">
        <w:rPr>
          <w:rFonts w:cstheme="minorHAnsi"/>
          <w:b/>
          <w:color w:val="002677"/>
          <w:sz w:val="28"/>
          <w:szCs w:val="28"/>
          <w:lang w:val="el-GR"/>
        </w:rPr>
        <w:t xml:space="preserve">Δευτέρου Τριμήνου και Πρώτου Εξαμήνου </w:t>
      </w:r>
      <w:r w:rsidR="006B2955" w:rsidRPr="006B2955">
        <w:rPr>
          <w:rFonts w:cstheme="minorHAnsi"/>
          <w:b/>
          <w:bCs/>
          <w:color w:val="002677"/>
          <w:sz w:val="28"/>
          <w:szCs w:val="28"/>
          <w:lang w:val="el-GR"/>
        </w:rPr>
        <w:t>2025</w:t>
      </w:r>
    </w:p>
    <w:p w14:paraId="6BFC0383" w14:textId="19612D05" w:rsidR="002A6750" w:rsidRPr="002531E4" w:rsidRDefault="002A6750" w:rsidP="000C7153">
      <w:pPr>
        <w:spacing w:line="276" w:lineRule="auto"/>
        <w:ind w:right="5"/>
        <w:jc w:val="both"/>
        <w:rPr>
          <w:rFonts w:cstheme="minorHAnsi"/>
          <w:b/>
          <w:bCs/>
          <w:color w:val="002677"/>
          <w:lang w:val="el-GR"/>
        </w:rPr>
      </w:pPr>
    </w:p>
    <w:p w14:paraId="1E55020A" w14:textId="587F7C16" w:rsidR="00C07471" w:rsidRPr="0029421E" w:rsidRDefault="00AD40FF" w:rsidP="000C7153">
      <w:pPr>
        <w:spacing w:line="276" w:lineRule="auto"/>
        <w:ind w:right="5"/>
        <w:jc w:val="both"/>
        <w:rPr>
          <w:rFonts w:cstheme="minorHAnsi"/>
          <w:b/>
          <w:bCs/>
          <w:color w:val="002677"/>
          <w:lang w:val="el-GR"/>
        </w:rPr>
      </w:pPr>
      <w:r>
        <w:rPr>
          <w:rFonts w:cstheme="minorHAnsi"/>
          <w:b/>
          <w:bCs/>
          <w:color w:val="002677"/>
          <w:lang w:val="el-GR"/>
        </w:rPr>
        <w:t>Α</w:t>
      </w:r>
      <w:r w:rsidR="00C07471" w:rsidRPr="00C07471">
        <w:rPr>
          <w:rFonts w:cstheme="minorHAnsi"/>
          <w:b/>
          <w:bCs/>
          <w:color w:val="002677"/>
          <w:lang w:val="el-GR"/>
        </w:rPr>
        <w:t xml:space="preserve">ύξηση της επιβατικής κίνησης </w:t>
      </w:r>
      <w:r>
        <w:rPr>
          <w:rFonts w:cstheme="minorHAnsi"/>
          <w:b/>
          <w:bCs/>
          <w:color w:val="002677"/>
          <w:lang w:val="el-GR"/>
        </w:rPr>
        <w:t xml:space="preserve">κατά </w:t>
      </w:r>
      <w:r w:rsidR="00700AF7">
        <w:rPr>
          <w:rFonts w:cstheme="minorHAnsi"/>
          <w:b/>
          <w:bCs/>
          <w:color w:val="002677"/>
          <w:lang w:val="el-GR"/>
        </w:rPr>
        <w:t>4</w:t>
      </w:r>
      <w:r>
        <w:rPr>
          <w:rFonts w:cstheme="minorHAnsi"/>
          <w:b/>
          <w:bCs/>
          <w:color w:val="002677"/>
          <w:lang w:val="el-GR"/>
        </w:rPr>
        <w:t xml:space="preserve">% </w:t>
      </w:r>
      <w:r w:rsidR="00C07471" w:rsidRPr="00C07471">
        <w:rPr>
          <w:rFonts w:cstheme="minorHAnsi"/>
          <w:b/>
          <w:bCs/>
          <w:color w:val="002677"/>
          <w:lang w:val="el-GR"/>
        </w:rPr>
        <w:t>και ενίσχυση του κύκλου εργασιών</w:t>
      </w:r>
      <w:r w:rsidR="006B2955">
        <w:rPr>
          <w:rFonts w:cstheme="minorHAnsi"/>
          <w:b/>
          <w:bCs/>
          <w:color w:val="002677"/>
          <w:lang w:val="el-GR"/>
        </w:rPr>
        <w:t>.</w:t>
      </w:r>
      <w:r>
        <w:rPr>
          <w:rFonts w:cstheme="minorHAnsi"/>
          <w:b/>
          <w:bCs/>
          <w:color w:val="002677"/>
          <w:lang w:val="el-GR"/>
        </w:rPr>
        <w:t xml:space="preserve"> </w:t>
      </w:r>
    </w:p>
    <w:p w14:paraId="2D9E7908" w14:textId="170341B3" w:rsidR="00C07471" w:rsidRPr="006B2955" w:rsidRDefault="006B2955" w:rsidP="000C7153">
      <w:pPr>
        <w:spacing w:line="276" w:lineRule="auto"/>
        <w:ind w:right="5"/>
        <w:jc w:val="both"/>
        <w:rPr>
          <w:rFonts w:cstheme="minorHAnsi"/>
          <w:b/>
          <w:bCs/>
          <w:color w:val="002677"/>
          <w:lang w:val="el-GR"/>
        </w:rPr>
      </w:pPr>
      <w:r>
        <w:rPr>
          <w:rFonts w:cstheme="minorHAnsi"/>
          <w:b/>
          <w:bCs/>
          <w:color w:val="002677"/>
          <w:lang w:val="el-GR"/>
        </w:rPr>
        <w:t>Αύξηση</w:t>
      </w:r>
      <w:r w:rsidR="00AD40FF">
        <w:rPr>
          <w:rFonts w:cstheme="minorHAnsi"/>
          <w:b/>
          <w:bCs/>
          <w:color w:val="002677"/>
          <w:lang w:val="el-GR"/>
        </w:rPr>
        <w:t xml:space="preserve"> 1</w:t>
      </w:r>
      <w:r>
        <w:rPr>
          <w:rFonts w:cstheme="minorHAnsi"/>
          <w:b/>
          <w:bCs/>
          <w:color w:val="002677"/>
          <w:lang w:val="el-GR"/>
        </w:rPr>
        <w:t>09</w:t>
      </w:r>
      <w:r w:rsidR="00AD40FF">
        <w:rPr>
          <w:rFonts w:cstheme="minorHAnsi"/>
          <w:b/>
          <w:bCs/>
          <w:color w:val="002677"/>
          <w:lang w:val="el-GR"/>
        </w:rPr>
        <w:t xml:space="preserve">% στα </w:t>
      </w:r>
      <w:r w:rsidR="00700AF7">
        <w:rPr>
          <w:rFonts w:cstheme="minorHAnsi"/>
          <w:b/>
          <w:bCs/>
          <w:color w:val="002677"/>
          <w:lang w:val="el-GR"/>
        </w:rPr>
        <w:t>Κ</w:t>
      </w:r>
      <w:r w:rsidR="00C07471" w:rsidRPr="00C07471">
        <w:rPr>
          <w:rFonts w:cstheme="minorHAnsi"/>
          <w:b/>
          <w:bCs/>
          <w:color w:val="002677"/>
          <w:lang w:val="el-GR"/>
        </w:rPr>
        <w:t xml:space="preserve">έρδη </w:t>
      </w:r>
      <w:r w:rsidR="00AD40FF">
        <w:rPr>
          <w:rFonts w:cstheme="minorHAnsi"/>
          <w:b/>
          <w:bCs/>
          <w:color w:val="002677"/>
          <w:lang w:val="el-GR"/>
        </w:rPr>
        <w:t>μετ</w:t>
      </w:r>
      <w:r>
        <w:rPr>
          <w:rFonts w:cstheme="minorHAnsi"/>
          <w:b/>
          <w:bCs/>
          <w:color w:val="002677"/>
          <w:lang w:val="el-GR"/>
        </w:rPr>
        <w:t>ά</w:t>
      </w:r>
      <w:r w:rsidR="00AD40FF">
        <w:rPr>
          <w:rFonts w:cstheme="minorHAnsi"/>
          <w:b/>
          <w:bCs/>
          <w:color w:val="002677"/>
          <w:lang w:val="el-GR"/>
        </w:rPr>
        <w:t xml:space="preserve"> </w:t>
      </w:r>
      <w:r w:rsidR="00395B22">
        <w:rPr>
          <w:rFonts w:cstheme="minorHAnsi"/>
          <w:b/>
          <w:bCs/>
          <w:color w:val="002677"/>
          <w:lang w:val="el-GR"/>
        </w:rPr>
        <w:t xml:space="preserve">από </w:t>
      </w:r>
      <w:r w:rsidR="00C07471" w:rsidRPr="00C07471">
        <w:rPr>
          <w:rFonts w:cstheme="minorHAnsi"/>
          <w:b/>
          <w:bCs/>
          <w:color w:val="002677"/>
          <w:lang w:val="el-GR"/>
        </w:rPr>
        <w:t>φόρ</w:t>
      </w:r>
      <w:r w:rsidR="00395B22">
        <w:rPr>
          <w:rFonts w:cstheme="minorHAnsi"/>
          <w:b/>
          <w:bCs/>
          <w:color w:val="002677"/>
          <w:lang w:val="el-GR"/>
        </w:rPr>
        <w:t>ους</w:t>
      </w:r>
      <w:r w:rsidR="00AD40FF">
        <w:rPr>
          <w:rFonts w:cstheme="minorHAnsi"/>
          <w:b/>
          <w:bCs/>
          <w:color w:val="002677"/>
          <w:lang w:val="el-GR"/>
        </w:rPr>
        <w:t xml:space="preserve">, με </w:t>
      </w:r>
      <w:r>
        <w:rPr>
          <w:rFonts w:cstheme="minorHAnsi"/>
          <w:b/>
          <w:bCs/>
          <w:color w:val="002677"/>
          <w:lang w:val="el-GR"/>
        </w:rPr>
        <w:t>στήριξη</w:t>
      </w:r>
      <w:r w:rsidR="00AD40FF">
        <w:rPr>
          <w:rFonts w:cstheme="minorHAnsi"/>
          <w:b/>
          <w:bCs/>
          <w:color w:val="002677"/>
          <w:lang w:val="el-GR"/>
        </w:rPr>
        <w:t xml:space="preserve"> και από την </w:t>
      </w:r>
      <w:r>
        <w:rPr>
          <w:rFonts w:cstheme="minorHAnsi"/>
          <w:b/>
          <w:bCs/>
          <w:color w:val="002677"/>
          <w:lang w:val="el-GR"/>
        </w:rPr>
        <w:t>ισοτιμία</w:t>
      </w:r>
      <w:r w:rsidR="00AD40FF">
        <w:rPr>
          <w:rFonts w:cstheme="minorHAnsi"/>
          <w:b/>
          <w:bCs/>
          <w:color w:val="002677"/>
          <w:lang w:val="el-GR"/>
        </w:rPr>
        <w:t xml:space="preserve"> του ευρ</w:t>
      </w:r>
      <w:r>
        <w:rPr>
          <w:rFonts w:cstheme="minorHAnsi"/>
          <w:b/>
          <w:bCs/>
          <w:color w:val="002677"/>
          <w:lang w:val="el-GR"/>
        </w:rPr>
        <w:t>ώ/δολαρίου</w:t>
      </w:r>
    </w:p>
    <w:p w14:paraId="1C52339F" w14:textId="77777777" w:rsidR="00C07471" w:rsidRDefault="00C07471" w:rsidP="000C7153">
      <w:pPr>
        <w:spacing w:line="276" w:lineRule="auto"/>
        <w:ind w:right="5"/>
        <w:jc w:val="both"/>
        <w:rPr>
          <w:rFonts w:cstheme="minorHAnsi"/>
          <w:b/>
          <w:bCs/>
          <w:color w:val="002677"/>
          <w:lang w:val="el-GR"/>
        </w:rPr>
      </w:pPr>
    </w:p>
    <w:p w14:paraId="7FC5AA3C" w14:textId="50403E11" w:rsidR="00603429" w:rsidRPr="00012ADF" w:rsidRDefault="00603429" w:rsidP="00603429">
      <w:pPr>
        <w:spacing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 xml:space="preserve">Αθήνα, </w:t>
      </w:r>
      <w:r w:rsidRPr="00482A59">
        <w:rPr>
          <w:rFonts w:cstheme="minorHAnsi"/>
          <w:color w:val="002677"/>
          <w:sz w:val="22"/>
          <w:szCs w:val="22"/>
          <w:lang w:val="el-GR"/>
        </w:rPr>
        <w:t>1</w:t>
      </w:r>
      <w:r w:rsidR="00012ADF" w:rsidRPr="00012ADF">
        <w:rPr>
          <w:rFonts w:cstheme="minorHAnsi"/>
          <w:color w:val="002677"/>
          <w:sz w:val="22"/>
          <w:szCs w:val="22"/>
          <w:lang w:val="el-GR"/>
        </w:rPr>
        <w:t>6</w:t>
      </w:r>
      <w:r w:rsidRPr="006C3EF9">
        <w:rPr>
          <w:rFonts w:cstheme="minorHAnsi"/>
          <w:color w:val="002677"/>
          <w:sz w:val="22"/>
          <w:szCs w:val="22"/>
          <w:lang w:val="el-GR"/>
        </w:rPr>
        <w:t xml:space="preserve"> Σεπτεμβρίου 202</w:t>
      </w:r>
      <w:r w:rsidR="00012ADF" w:rsidRPr="00012ADF">
        <w:rPr>
          <w:rFonts w:cstheme="minorHAnsi"/>
          <w:color w:val="002677"/>
          <w:sz w:val="22"/>
          <w:szCs w:val="22"/>
          <w:lang w:val="el-GR"/>
        </w:rPr>
        <w:t>5</w:t>
      </w:r>
    </w:p>
    <w:p w14:paraId="45D22156" w14:textId="77777777" w:rsidR="00603429" w:rsidRDefault="00603429" w:rsidP="000E1380">
      <w:pPr>
        <w:spacing w:line="276" w:lineRule="auto"/>
        <w:ind w:right="5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13F406A" w14:textId="357FBEF1" w:rsidR="00A60489" w:rsidRDefault="00603429" w:rsidP="000E1380">
      <w:pPr>
        <w:spacing w:after="240" w:line="276" w:lineRule="auto"/>
        <w:ind w:right="5"/>
        <w:jc w:val="both"/>
        <w:rPr>
          <w:color w:val="002577"/>
          <w:sz w:val="22"/>
          <w:szCs w:val="22"/>
          <w:lang w:val="el-GR"/>
        </w:rPr>
      </w:pPr>
      <w:r w:rsidRPr="00082C95">
        <w:rPr>
          <w:color w:val="002577"/>
          <w:sz w:val="22"/>
          <w:szCs w:val="22"/>
          <w:lang w:val="el-GR"/>
        </w:rPr>
        <w:t xml:space="preserve">Η </w:t>
      </w:r>
      <w:r>
        <w:rPr>
          <w:color w:val="002577"/>
          <w:sz w:val="22"/>
          <w:szCs w:val="22"/>
        </w:rPr>
        <w:t>AEGEAN</w:t>
      </w:r>
      <w:r w:rsidRPr="00082C95">
        <w:rPr>
          <w:color w:val="002577"/>
          <w:sz w:val="22"/>
          <w:szCs w:val="22"/>
          <w:lang w:val="el-GR"/>
        </w:rPr>
        <w:t xml:space="preserve"> ανακοινώνει τα οικονομικά αποτελέσματα για το </w:t>
      </w:r>
      <w:r w:rsidR="00EC2A04">
        <w:rPr>
          <w:color w:val="002577"/>
          <w:sz w:val="22"/>
          <w:szCs w:val="22"/>
          <w:lang w:val="el-GR"/>
        </w:rPr>
        <w:t>Δ</w:t>
      </w:r>
      <w:r w:rsidRPr="00082C95">
        <w:rPr>
          <w:color w:val="002577"/>
          <w:sz w:val="22"/>
          <w:szCs w:val="22"/>
          <w:lang w:val="el-GR"/>
        </w:rPr>
        <w:t xml:space="preserve">εύτερο </w:t>
      </w:r>
      <w:r w:rsidR="00EC2A04">
        <w:rPr>
          <w:color w:val="002577"/>
          <w:sz w:val="22"/>
          <w:szCs w:val="22"/>
          <w:lang w:val="el-GR"/>
        </w:rPr>
        <w:t>Τ</w:t>
      </w:r>
      <w:r w:rsidRPr="00082C95">
        <w:rPr>
          <w:color w:val="002577"/>
          <w:sz w:val="22"/>
          <w:szCs w:val="22"/>
          <w:lang w:val="el-GR"/>
        </w:rPr>
        <w:t xml:space="preserve">ρίμηνο και το </w:t>
      </w:r>
      <w:r w:rsidR="00EC2A04">
        <w:rPr>
          <w:color w:val="002577"/>
          <w:sz w:val="22"/>
          <w:szCs w:val="22"/>
          <w:lang w:val="el-GR"/>
        </w:rPr>
        <w:t>Π</w:t>
      </w:r>
      <w:r w:rsidRPr="00082C95">
        <w:rPr>
          <w:color w:val="002577"/>
          <w:sz w:val="22"/>
          <w:szCs w:val="22"/>
          <w:lang w:val="el-GR"/>
        </w:rPr>
        <w:t xml:space="preserve">ρώτο </w:t>
      </w:r>
      <w:r w:rsidR="00EC2A04">
        <w:rPr>
          <w:color w:val="002577"/>
          <w:sz w:val="22"/>
          <w:szCs w:val="22"/>
          <w:lang w:val="el-GR"/>
        </w:rPr>
        <w:t>Ε</w:t>
      </w:r>
      <w:r w:rsidRPr="00082C95">
        <w:rPr>
          <w:color w:val="002577"/>
          <w:sz w:val="22"/>
          <w:szCs w:val="22"/>
          <w:lang w:val="el-GR"/>
        </w:rPr>
        <w:t>ξάμηνο του 202</w:t>
      </w:r>
      <w:r w:rsidR="00012ADF" w:rsidRPr="00012ADF">
        <w:rPr>
          <w:color w:val="002577"/>
          <w:sz w:val="22"/>
          <w:szCs w:val="22"/>
          <w:lang w:val="el-GR"/>
        </w:rPr>
        <w:t>5</w:t>
      </w:r>
      <w:r>
        <w:rPr>
          <w:color w:val="002577"/>
          <w:sz w:val="22"/>
          <w:szCs w:val="22"/>
          <w:lang w:val="el-GR"/>
        </w:rPr>
        <w:t xml:space="preserve">. </w:t>
      </w:r>
    </w:p>
    <w:p w14:paraId="0FBFF3A4" w14:textId="3852C2FA" w:rsidR="0029421E" w:rsidRDefault="001D095E" w:rsidP="000E1380">
      <w:pPr>
        <w:pStyle w:val="AegeanNormal"/>
      </w:pPr>
      <w:r w:rsidRPr="001D095E">
        <w:t xml:space="preserve">Η </w:t>
      </w:r>
      <w:r w:rsidR="00D30FA1">
        <w:t>Εταιρεία</w:t>
      </w:r>
      <w:r w:rsidR="00D30FA1" w:rsidRPr="001D095E">
        <w:t xml:space="preserve"> </w:t>
      </w:r>
      <w:r w:rsidRPr="001D095E">
        <w:t>συνεχίζει τη δυναμική της ανάπτυξη</w:t>
      </w:r>
      <w:r w:rsidR="0029421E">
        <w:t xml:space="preserve"> το Α’ Εξάμηνο</w:t>
      </w:r>
      <w:r w:rsidRPr="001D095E">
        <w:t xml:space="preserve"> </w:t>
      </w:r>
      <w:r w:rsidR="0029421E" w:rsidRPr="001D095E">
        <w:t>προσφέροντας</w:t>
      </w:r>
      <w:r w:rsidR="0029421E">
        <w:t xml:space="preserve"> </w:t>
      </w:r>
      <w:r w:rsidR="0029421E" w:rsidRPr="001D095E">
        <w:t>9,4 εκατ. θέσεις, 5% περισσότερες σε σχέση με το Α’ Εξάμηνο του 2024, μεταφέροντας 7,6 εκατ. επιβάτες, 4%</w:t>
      </w:r>
      <w:r w:rsidR="00D30FA1">
        <w:t xml:space="preserve"> περισσότερους</w:t>
      </w:r>
      <w:r w:rsidR="0029421E" w:rsidRPr="001D095E">
        <w:t xml:space="preserve"> σε σχέση με την αντίστοιχη περσινή περίοδο. Οι επιβάτες εσωτερικού αυξήθηκαν κατά 5% </w:t>
      </w:r>
      <w:r w:rsidR="0029421E">
        <w:t xml:space="preserve">ενώ οι </w:t>
      </w:r>
      <w:r w:rsidR="0029421E" w:rsidRPr="001D095E">
        <w:t xml:space="preserve">επιβάτες εξωτερικού </w:t>
      </w:r>
      <w:r w:rsidR="0029421E">
        <w:t xml:space="preserve">αυξήθηκαν </w:t>
      </w:r>
      <w:r w:rsidR="0029421E" w:rsidRPr="001D095E">
        <w:t>κατά 4%</w:t>
      </w:r>
      <w:r w:rsidR="0029421E">
        <w:t xml:space="preserve">, παρά τη </w:t>
      </w:r>
      <w:r w:rsidR="00A35FB3">
        <w:t>σημαντική</w:t>
      </w:r>
      <w:r w:rsidR="00AD40FF">
        <w:t xml:space="preserve"> </w:t>
      </w:r>
      <w:r w:rsidR="0029421E">
        <w:t>υστέρηση που προέκυψε</w:t>
      </w:r>
      <w:r w:rsidR="00AD40FF">
        <w:t xml:space="preserve"> </w:t>
      </w:r>
      <w:r w:rsidR="00D30FA1">
        <w:t>το δίμηνο</w:t>
      </w:r>
      <w:r w:rsidR="00AD40FF">
        <w:t xml:space="preserve"> </w:t>
      </w:r>
      <w:r w:rsidR="00D30FA1">
        <w:t>Μαΐου-Ιουνίου</w:t>
      </w:r>
      <w:r w:rsidR="00AD40FF">
        <w:t xml:space="preserve"> από την μη </w:t>
      </w:r>
      <w:r w:rsidR="00A35FB3">
        <w:t>εκτέλεση</w:t>
      </w:r>
      <w:r w:rsidR="00AD40FF">
        <w:t xml:space="preserve"> </w:t>
      </w:r>
      <w:r w:rsidR="00A35FB3">
        <w:t>πτήσεων</w:t>
      </w:r>
      <w:r w:rsidR="00AD40FF">
        <w:t xml:space="preserve"> </w:t>
      </w:r>
      <w:r w:rsidR="00D30FA1">
        <w:t xml:space="preserve">προς </w:t>
      </w:r>
      <w:r w:rsidR="00A35FB3">
        <w:t>Ισραήλ</w:t>
      </w:r>
      <w:r w:rsidR="00AD40FF">
        <w:t xml:space="preserve">, </w:t>
      </w:r>
      <w:r w:rsidR="00A35FB3">
        <w:t>Λίβανο</w:t>
      </w:r>
      <w:r w:rsidR="00AD40FF">
        <w:t xml:space="preserve"> και </w:t>
      </w:r>
      <w:r w:rsidR="00A35FB3">
        <w:t>Ιορδανία</w:t>
      </w:r>
      <w:r w:rsidR="00AD40FF">
        <w:t xml:space="preserve"> </w:t>
      </w:r>
      <w:r w:rsidR="0029421E">
        <w:t>λόγω των γεωπολιτικών εξελίξεων.</w:t>
      </w:r>
    </w:p>
    <w:p w14:paraId="511E87AC" w14:textId="72FC31E3" w:rsidR="0029421E" w:rsidRPr="00F8554E" w:rsidRDefault="0029421E" w:rsidP="0029421E">
      <w:pPr>
        <w:pStyle w:val="AegeanNormal"/>
      </w:pPr>
      <w:r>
        <w:t>Π</w:t>
      </w:r>
      <w:r w:rsidRPr="00360D58">
        <w:t xml:space="preserve">αρά </w:t>
      </w:r>
      <w:r w:rsidR="00AD40FF">
        <w:t xml:space="preserve">τους </w:t>
      </w:r>
      <w:r w:rsidR="00A35FB3">
        <w:t>περιορισμούς</w:t>
      </w:r>
      <w:r w:rsidR="00AD40FF">
        <w:t xml:space="preserve">, </w:t>
      </w:r>
      <w:r w:rsidR="00A35FB3">
        <w:t>ιδιαίτερα</w:t>
      </w:r>
      <w:r w:rsidR="00AD40FF">
        <w:t xml:space="preserve"> το </w:t>
      </w:r>
      <w:r w:rsidR="00A35FB3">
        <w:t>δίμηνο</w:t>
      </w:r>
      <w:r w:rsidR="00AD40FF">
        <w:t xml:space="preserve"> </w:t>
      </w:r>
      <w:r w:rsidR="00D30FA1">
        <w:t xml:space="preserve">Μαΐου </w:t>
      </w:r>
      <w:r w:rsidR="00AD40FF">
        <w:t xml:space="preserve">– </w:t>
      </w:r>
      <w:r w:rsidR="00D30FA1">
        <w:t>Ιουνίου</w:t>
      </w:r>
      <w:r w:rsidR="00AD40FF">
        <w:t>,</w:t>
      </w:r>
      <w:r w:rsidR="00A35FB3">
        <w:t xml:space="preserve"> </w:t>
      </w:r>
      <w:r w:rsidR="00F8554E">
        <w:t>αλλά</w:t>
      </w:r>
      <w:r w:rsidR="00A35FB3">
        <w:t xml:space="preserve"> και την </w:t>
      </w:r>
      <w:r w:rsidR="00F8554E">
        <w:t>αύξηση</w:t>
      </w:r>
      <w:r w:rsidR="00A35FB3">
        <w:t xml:space="preserve"> της </w:t>
      </w:r>
      <w:r w:rsidR="00F8554E">
        <w:t>χωρητικότητας</w:t>
      </w:r>
      <w:r w:rsidR="00A35FB3">
        <w:t xml:space="preserve"> </w:t>
      </w:r>
      <w:r w:rsidR="00F8554E">
        <w:t>σημαντικού</w:t>
      </w:r>
      <w:r w:rsidR="00A35FB3">
        <w:t xml:space="preserve"> </w:t>
      </w:r>
      <w:r w:rsidR="00F8554E">
        <w:t>αριθμού</w:t>
      </w:r>
      <w:r w:rsidR="00A35FB3">
        <w:t xml:space="preserve"> </w:t>
      </w:r>
      <w:r w:rsidR="00F8554E">
        <w:t>αεροπορικών</w:t>
      </w:r>
      <w:r w:rsidR="006B2955">
        <w:t xml:space="preserve"> εταιρειών</w:t>
      </w:r>
      <w:r w:rsidR="00A35FB3">
        <w:t xml:space="preserve"> προς την </w:t>
      </w:r>
      <w:r w:rsidR="00F8554E">
        <w:t>Ελλάδα</w:t>
      </w:r>
      <w:r w:rsidR="00A35FB3">
        <w:t xml:space="preserve">, </w:t>
      </w:r>
      <w:r w:rsidRPr="00360D58">
        <w:t xml:space="preserve">η AEGEAN </w:t>
      </w:r>
      <w:r>
        <w:t xml:space="preserve">πέτυχε </w:t>
      </w:r>
      <w:r w:rsidRPr="00360D58">
        <w:t xml:space="preserve">ισχυρές </w:t>
      </w:r>
      <w:r w:rsidR="006B2955">
        <w:t>οικονομικές</w:t>
      </w:r>
      <w:r w:rsidR="00F8554E">
        <w:t xml:space="preserve"> </w:t>
      </w:r>
      <w:r w:rsidRPr="00360D58">
        <w:t xml:space="preserve">επιδόσεις, </w:t>
      </w:r>
      <w:r w:rsidR="00A35FB3">
        <w:t xml:space="preserve">από τη </w:t>
      </w:r>
      <w:r w:rsidR="00F8554E">
        <w:t>θετική</w:t>
      </w:r>
      <w:r w:rsidR="00A35FB3">
        <w:t xml:space="preserve"> </w:t>
      </w:r>
      <w:r w:rsidR="00F8554E">
        <w:t>διαχείριση</w:t>
      </w:r>
      <w:r w:rsidR="00A35FB3">
        <w:t xml:space="preserve"> και </w:t>
      </w:r>
      <w:r w:rsidR="00F8554E">
        <w:t>ωρίμανση</w:t>
      </w:r>
      <w:r w:rsidR="00A35FB3">
        <w:t xml:space="preserve"> </w:t>
      </w:r>
      <w:r w:rsidR="00A35FB3" w:rsidRPr="001D095E">
        <w:t>του δικτύο</w:t>
      </w:r>
      <w:r w:rsidR="00A35FB3">
        <w:t xml:space="preserve">υ, τη </w:t>
      </w:r>
      <w:r w:rsidR="00F8554E">
        <w:t>σταδιακή</w:t>
      </w:r>
      <w:r w:rsidR="00A35FB3">
        <w:t xml:space="preserve"> </w:t>
      </w:r>
      <w:r w:rsidR="00F8554E">
        <w:t>χρήση</w:t>
      </w:r>
      <w:r w:rsidR="00A35FB3">
        <w:t xml:space="preserve"> </w:t>
      </w:r>
      <w:r w:rsidR="00F8554E">
        <w:t>περισσοτέρων</w:t>
      </w:r>
      <w:r w:rsidR="00A35FB3">
        <w:t xml:space="preserve"> </w:t>
      </w:r>
      <w:r w:rsidR="00F8554E">
        <w:t xml:space="preserve">αεροσκαφών της μεγαλύτερης έκδοσης </w:t>
      </w:r>
      <w:r w:rsidR="00A35FB3">
        <w:t>Α321</w:t>
      </w:r>
      <w:r w:rsidR="00A35FB3">
        <w:rPr>
          <w:lang w:val="en-US"/>
        </w:rPr>
        <w:t>neo</w:t>
      </w:r>
      <w:r w:rsidR="00A35FB3" w:rsidRPr="00A35FB3">
        <w:t xml:space="preserve"> </w:t>
      </w:r>
      <w:r w:rsidR="00F8554E">
        <w:t>αλλά</w:t>
      </w:r>
      <w:r w:rsidR="00A35FB3">
        <w:t xml:space="preserve"> και τη</w:t>
      </w:r>
      <w:r w:rsidR="00F8554E" w:rsidRPr="00F8554E">
        <w:t xml:space="preserve"> </w:t>
      </w:r>
      <w:r w:rsidR="00F8554E">
        <w:t>βελτίωση της ισοτιμία</w:t>
      </w:r>
      <w:r w:rsidR="00395B22">
        <w:t>ς</w:t>
      </w:r>
      <w:r w:rsidR="00F8554E">
        <w:t xml:space="preserve"> του ευρώ/</w:t>
      </w:r>
      <w:r w:rsidR="006B2955">
        <w:t>δολαρίου</w:t>
      </w:r>
      <w:r w:rsidR="00F8554E" w:rsidRPr="00F8554E">
        <w:t xml:space="preserve"> </w:t>
      </w:r>
      <w:r w:rsidR="00F8554E">
        <w:t>που επιδρά στο κόστος λειτουργίας και την αποτίμηση των μελλοντικών υποχρεώσεων για μισθώσεις αεροσκαφών.</w:t>
      </w:r>
    </w:p>
    <w:p w14:paraId="2A84B8C8" w14:textId="5442E725" w:rsidR="0029421E" w:rsidRPr="00F8554E" w:rsidRDefault="0029421E" w:rsidP="0029421E">
      <w:pPr>
        <w:pStyle w:val="AegeanNormal"/>
      </w:pPr>
      <w:r w:rsidRPr="001D095E">
        <w:t>Ο ενοποιημένος κύκλος εργασιών το Α’ Εξάμηνο ανήλθε σε €787,0 εκατ., καταγράφοντας αύξηση 5%</w:t>
      </w:r>
      <w:r w:rsidR="00F8554E">
        <w:t>.</w:t>
      </w:r>
      <w:r w:rsidRPr="001D095E">
        <w:t xml:space="preserve"> Το </w:t>
      </w:r>
      <w:r w:rsidRPr="001D095E">
        <w:rPr>
          <w:lang w:val="en-GB"/>
        </w:rPr>
        <w:t>EBITDA</w:t>
      </w:r>
      <w:r w:rsidRPr="001D095E">
        <w:t xml:space="preserve"> αυξήθηκε κατά 6%, φτάνοντας τα €156,2 εκατ. Τα Κέρδη προ φόρων διαμορφώθηκαν σε €66,0 εκατ., έναντι €31,6 εκατ. το</w:t>
      </w:r>
      <w:r w:rsidR="006B2955">
        <w:t xml:space="preserve"> Α’ εξάμηνο του</w:t>
      </w:r>
      <w:r w:rsidRPr="001D095E">
        <w:t xml:space="preserve"> 2024, ενώ τα Κέρδη μετά από φόρους διαμορφώθηκαν σε €4</w:t>
      </w:r>
      <w:r w:rsidR="006B2955">
        <w:t>7</w:t>
      </w:r>
      <w:r w:rsidRPr="001D095E">
        <w:t>,</w:t>
      </w:r>
      <w:r w:rsidR="006B2955">
        <w:t>9</w:t>
      </w:r>
      <w:r w:rsidRPr="001D095E">
        <w:t xml:space="preserve"> εκατ., από €22,9 εκατ. την αντίστοιχη περίοδο του 2024.</w:t>
      </w:r>
    </w:p>
    <w:p w14:paraId="4C4745C9" w14:textId="790D9CD8" w:rsidR="001D095E" w:rsidRDefault="0029421E" w:rsidP="000E1380">
      <w:pPr>
        <w:pStyle w:val="AegeanNormal"/>
      </w:pPr>
      <w:r>
        <w:t>Τ</w:t>
      </w:r>
      <w:r w:rsidR="001D095E" w:rsidRPr="001D095E">
        <w:t xml:space="preserve">ο Β’ Τρίμηνο </w:t>
      </w:r>
      <w:r>
        <w:t xml:space="preserve">η </w:t>
      </w:r>
      <w:r>
        <w:rPr>
          <w:lang w:val="en-US"/>
        </w:rPr>
        <w:t>AEGEAN</w:t>
      </w:r>
      <w:r w:rsidRPr="0029421E">
        <w:t xml:space="preserve"> </w:t>
      </w:r>
      <w:r>
        <w:t xml:space="preserve">προσέφερε </w:t>
      </w:r>
      <w:r w:rsidR="001D095E" w:rsidRPr="001D095E">
        <w:t>5,5 εκατ. θέσεις,</w:t>
      </w:r>
      <w:r w:rsidR="00F8554E">
        <w:t xml:space="preserve"> </w:t>
      </w:r>
      <w:r w:rsidR="006B2955">
        <w:t>μόλις</w:t>
      </w:r>
      <w:r w:rsidR="00F8554E">
        <w:t xml:space="preserve"> </w:t>
      </w:r>
      <w:r w:rsidR="001D095E" w:rsidRPr="001D095E">
        <w:t>2% περισσότερες σε σχέση με το 2024</w:t>
      </w:r>
      <w:r w:rsidR="00F8554E">
        <w:t xml:space="preserve"> </w:t>
      </w:r>
      <w:r w:rsidR="006B2955">
        <w:t>κυρίως</w:t>
      </w:r>
      <w:r w:rsidR="00F8554E">
        <w:t xml:space="preserve"> </w:t>
      </w:r>
      <w:r w:rsidR="006B2955">
        <w:t>λόγω</w:t>
      </w:r>
      <w:r w:rsidR="00F8554E">
        <w:t xml:space="preserve"> της </w:t>
      </w:r>
      <w:r w:rsidR="006B2955">
        <w:t>απώλειας</w:t>
      </w:r>
      <w:r w:rsidR="00F8554E">
        <w:t xml:space="preserve"> των </w:t>
      </w:r>
      <w:r w:rsidR="006B2955">
        <w:t>αγορών</w:t>
      </w:r>
      <w:r w:rsidR="00D30FA1">
        <w:t xml:space="preserve"> στη Μέση Ανατολή</w:t>
      </w:r>
      <w:r w:rsidR="00F8554E">
        <w:t xml:space="preserve"> που </w:t>
      </w:r>
      <w:r w:rsidR="006B2955">
        <w:t>αναφέρθηκε</w:t>
      </w:r>
      <w:r w:rsidR="00F8554E">
        <w:t xml:space="preserve"> </w:t>
      </w:r>
      <w:r w:rsidR="006B2955">
        <w:t>ανωτέρω</w:t>
      </w:r>
      <w:r w:rsidR="001D095E" w:rsidRPr="001D095E">
        <w:t>, με την επιβατική κίνηση να αυξάνεται επίσης κατά 2%. Ο συντελεστής πληρότητας διαμορφώθηκε στο 81,4%.</w:t>
      </w:r>
      <w:r w:rsidR="006B2955">
        <w:t xml:space="preserve"> </w:t>
      </w:r>
      <w:r w:rsidR="001D095E" w:rsidRPr="001D095E">
        <w:t xml:space="preserve">Ο ενοποιημένος κύκλος εργασιών για το Β’ Τρίμηνο ανήλθε σε €480,9 εκατ., ενώ το </w:t>
      </w:r>
      <w:r w:rsidR="001D095E" w:rsidRPr="001D095E">
        <w:rPr>
          <w:lang w:val="en-GB"/>
        </w:rPr>
        <w:t>EBITDA</w:t>
      </w:r>
      <w:r w:rsidR="001D095E" w:rsidRPr="001D095E">
        <w:t xml:space="preserve"> διαμορφώθηκε σε €112,4 εκατ. Τα καθαρά κέρδη μετά από φόρους ανήλθαν σε €5</w:t>
      </w:r>
      <w:r w:rsidR="006B2955">
        <w:t>4</w:t>
      </w:r>
      <w:r w:rsidR="001D095E" w:rsidRPr="001D095E">
        <w:t>,</w:t>
      </w:r>
      <w:r w:rsidR="006B2955">
        <w:t>5</w:t>
      </w:r>
      <w:r w:rsidR="001D095E" w:rsidRPr="001D095E">
        <w:t xml:space="preserve"> εκατ., αυξημένα από €43,9 εκατ. το Β’ Τρίμηνο του 2024.</w:t>
      </w:r>
    </w:p>
    <w:p w14:paraId="0B436448" w14:textId="43FD51BA" w:rsidR="00A46172" w:rsidRPr="0029421E" w:rsidRDefault="009D36E9" w:rsidP="00A46172">
      <w:pPr>
        <w:pStyle w:val="AegeanNormal"/>
      </w:pPr>
      <w:r w:rsidRPr="00C07471">
        <w:t>Τ</w:t>
      </w:r>
      <w:r w:rsidR="00654B09" w:rsidRPr="00C07471">
        <w:t>α</w:t>
      </w:r>
      <w:r>
        <w:t xml:space="preserve"> </w:t>
      </w:r>
      <w:r w:rsidR="00654B09" w:rsidRPr="00C07471">
        <w:t xml:space="preserve">ταμειακά </w:t>
      </w:r>
      <w:r w:rsidR="000B60D7" w:rsidRPr="00C07471">
        <w:t>αποθέματα</w:t>
      </w:r>
      <w:r w:rsidR="00654B09" w:rsidRPr="00C07471">
        <w:t xml:space="preserve"> και τα άμεσα ρευστοποιήσιμα χρηματοοικονομικά στοιχεία </w:t>
      </w:r>
      <w:r w:rsidR="000B60D7" w:rsidRPr="00C07471">
        <w:t>αυξήθηκαν</w:t>
      </w:r>
      <w:r w:rsidR="00654B09" w:rsidRPr="00C07471">
        <w:t xml:space="preserve"> σε €</w:t>
      </w:r>
      <w:r w:rsidR="00291834">
        <w:t>8</w:t>
      </w:r>
      <w:r w:rsidR="004F74C6" w:rsidRPr="004F74C6">
        <w:t>41</w:t>
      </w:r>
      <w:r w:rsidR="00291834">
        <w:t>,</w:t>
      </w:r>
      <w:r w:rsidR="002F1F61" w:rsidRPr="002F1F61">
        <w:t>9</w:t>
      </w:r>
      <w:r w:rsidR="00654B09" w:rsidRPr="00C07471">
        <w:t xml:space="preserve"> εκατ. στις 30.06.202</w:t>
      </w:r>
      <w:r w:rsidR="00291834">
        <w:t>5</w:t>
      </w:r>
      <w:r w:rsidR="00654B09" w:rsidRPr="00C07471">
        <w:t xml:space="preserve"> από €76</w:t>
      </w:r>
      <w:r w:rsidR="00291834">
        <w:t>9</w:t>
      </w:r>
      <w:r w:rsidR="00654B09" w:rsidRPr="00C07471">
        <w:t>,</w:t>
      </w:r>
      <w:r w:rsidR="00291834">
        <w:t>1</w:t>
      </w:r>
      <w:r w:rsidR="00654B09" w:rsidRPr="00C07471">
        <w:t xml:space="preserve"> εκατ. στις 31.12.202</w:t>
      </w:r>
      <w:r w:rsidR="00291834">
        <w:t>4</w:t>
      </w:r>
      <w:r w:rsidR="00654B09" w:rsidRPr="00C07471">
        <w:t xml:space="preserve">, </w:t>
      </w:r>
      <w:r w:rsidR="000B60D7" w:rsidRPr="00C07471">
        <w:t>πάρα</w:t>
      </w:r>
      <w:r w:rsidR="00654B09" w:rsidRPr="00C07471">
        <w:t xml:space="preserve"> την </w:t>
      </w:r>
      <w:r w:rsidR="000B60D7" w:rsidRPr="00C07471">
        <w:t>καταβολή</w:t>
      </w:r>
      <w:r w:rsidR="00654B09" w:rsidRPr="00C07471">
        <w:t xml:space="preserve"> μερίσματος </w:t>
      </w:r>
      <w:r w:rsidR="00654B09" w:rsidRPr="00993692">
        <w:t>ύψους €</w:t>
      </w:r>
      <w:r w:rsidR="00993692" w:rsidRPr="00993692">
        <w:t>7</w:t>
      </w:r>
      <w:r w:rsidR="00700AF7">
        <w:t>2,1</w:t>
      </w:r>
      <w:r w:rsidR="00654B09" w:rsidRPr="00993692">
        <w:t xml:space="preserve"> εκ</w:t>
      </w:r>
      <w:r w:rsidR="007E1C7D" w:rsidRPr="00993692">
        <w:t>ατ</w:t>
      </w:r>
      <w:r w:rsidR="00654B09" w:rsidRPr="00C07471">
        <w:t xml:space="preserve">. στους </w:t>
      </w:r>
      <w:r w:rsidR="000B60D7" w:rsidRPr="00C07471">
        <w:t>μέτοχους</w:t>
      </w:r>
      <w:r w:rsidR="00654B09" w:rsidRPr="00C07471">
        <w:t xml:space="preserve"> στις 2</w:t>
      </w:r>
      <w:r w:rsidR="00993692">
        <w:t>6</w:t>
      </w:r>
      <w:r w:rsidR="00654B09" w:rsidRPr="00C07471">
        <w:t>.05.202</w:t>
      </w:r>
      <w:r w:rsidR="00993692">
        <w:t>5</w:t>
      </w:r>
      <w:r w:rsidR="00654B09" w:rsidRPr="00C07471">
        <w:t>.</w:t>
      </w:r>
      <w:r w:rsidR="00A46172" w:rsidRPr="00A46172">
        <w:t xml:space="preserve"> </w:t>
      </w:r>
      <w:r w:rsidR="006B2955">
        <w:t>Σημειώνεται</w:t>
      </w:r>
      <w:r w:rsidR="00F8554E">
        <w:t xml:space="preserve"> ότι </w:t>
      </w:r>
      <w:r w:rsidR="00700AF7">
        <w:t xml:space="preserve">στα </w:t>
      </w:r>
      <w:r w:rsidR="00700AF7" w:rsidRPr="00C07471">
        <w:t xml:space="preserve">ταμειακά αποθέματα </w:t>
      </w:r>
      <w:r w:rsidR="00F8554E">
        <w:t xml:space="preserve">δεν </w:t>
      </w:r>
      <w:r w:rsidR="006B2955">
        <w:t>συμπεριλαμβάνεται</w:t>
      </w:r>
      <w:r w:rsidR="00F8554E">
        <w:t xml:space="preserve"> το </w:t>
      </w:r>
      <w:r w:rsidR="006B2955">
        <w:t>επιπλέον</w:t>
      </w:r>
      <w:r w:rsidR="00F8554E">
        <w:t xml:space="preserve"> </w:t>
      </w:r>
      <w:r w:rsidR="006B2955">
        <w:t>ταμειακό</w:t>
      </w:r>
      <w:r w:rsidR="00F8554E">
        <w:t xml:space="preserve"> </w:t>
      </w:r>
      <w:r w:rsidR="006B2955">
        <w:t>απόθεμα</w:t>
      </w:r>
      <w:r w:rsidR="00F8554E">
        <w:t xml:space="preserve"> που </w:t>
      </w:r>
      <w:r w:rsidR="006B2955">
        <w:t>προέκυψε</w:t>
      </w:r>
      <w:r w:rsidR="00F8554E">
        <w:t xml:space="preserve"> από την </w:t>
      </w:r>
      <w:r w:rsidR="006B2955">
        <w:t>έκδοση</w:t>
      </w:r>
      <w:r w:rsidR="00F8554E">
        <w:t xml:space="preserve"> του </w:t>
      </w:r>
      <w:r w:rsidR="006B2955">
        <w:t>νέου</w:t>
      </w:r>
      <w:r w:rsidR="00F8554E">
        <w:t xml:space="preserve"> </w:t>
      </w:r>
      <w:r w:rsidR="006B2955">
        <w:t>ομολογιακού</w:t>
      </w:r>
      <w:r w:rsidR="00F8554E">
        <w:t xml:space="preserve"> </w:t>
      </w:r>
      <w:r w:rsidR="006B2955">
        <w:t xml:space="preserve">δανείου </w:t>
      </w:r>
      <w:r w:rsidR="00F8554E">
        <w:t xml:space="preserve">στις </w:t>
      </w:r>
      <w:r w:rsidR="006B2955">
        <w:t>αρχές</w:t>
      </w:r>
      <w:r w:rsidR="00F8554E">
        <w:t xml:space="preserve"> </w:t>
      </w:r>
      <w:r w:rsidR="006B2955">
        <w:t>Ιουλίου</w:t>
      </w:r>
      <w:r w:rsidR="00F8554E">
        <w:t xml:space="preserve"> του 2025. </w:t>
      </w:r>
    </w:p>
    <w:p w14:paraId="34A00C00" w14:textId="01024426" w:rsidR="00CB67EA" w:rsidRDefault="0029421E" w:rsidP="00A46172">
      <w:pPr>
        <w:pStyle w:val="AegeanNormal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Τ</w:t>
      </w:r>
      <w:r w:rsidRPr="0029421E">
        <w:rPr>
          <w:rFonts w:cstheme="minorHAnsi"/>
          <w:szCs w:val="22"/>
        </w:rPr>
        <w:t xml:space="preserve">ο 2025, η </w:t>
      </w:r>
      <w:r w:rsidRPr="0029421E">
        <w:rPr>
          <w:rFonts w:cstheme="minorHAnsi"/>
          <w:szCs w:val="22"/>
          <w:lang w:val="en-GB"/>
        </w:rPr>
        <w:t>AEGEAN</w:t>
      </w:r>
      <w:r w:rsidRPr="0029421E">
        <w:rPr>
          <w:rFonts w:cstheme="minorHAnsi"/>
          <w:szCs w:val="22"/>
        </w:rPr>
        <w:t xml:space="preserve"> ενισχύει τον στόλο της με συνολικά 6 νέα αεροσκάφη</w:t>
      </w:r>
      <w:r>
        <w:rPr>
          <w:rFonts w:cstheme="minorHAnsi"/>
          <w:szCs w:val="22"/>
        </w:rPr>
        <w:t xml:space="preserve"> εκ των οποίων έχουν ήδη παραληφθεί </w:t>
      </w:r>
      <w:r w:rsidR="00CB67EA">
        <w:rPr>
          <w:rFonts w:cstheme="minorHAnsi"/>
          <w:szCs w:val="22"/>
        </w:rPr>
        <w:t>τρία (</w:t>
      </w:r>
      <w:r w:rsidR="00F8554E">
        <w:rPr>
          <w:rFonts w:cstheme="minorHAnsi"/>
          <w:szCs w:val="22"/>
        </w:rPr>
        <w:t>3</w:t>
      </w:r>
      <w:r w:rsidR="00CB67EA">
        <w:rPr>
          <w:rFonts w:cstheme="minorHAnsi"/>
          <w:szCs w:val="22"/>
        </w:rPr>
        <w:t>)</w:t>
      </w:r>
      <w:r w:rsidR="00DA2ED3">
        <w:rPr>
          <w:rFonts w:cstheme="minorHAnsi"/>
          <w:szCs w:val="22"/>
        </w:rPr>
        <w:t xml:space="preserve"> Α320/321</w:t>
      </w:r>
      <w:r w:rsidR="00DA2ED3">
        <w:rPr>
          <w:rFonts w:cstheme="minorHAnsi"/>
          <w:szCs w:val="22"/>
          <w:lang w:val="en-US"/>
        </w:rPr>
        <w:t>neo</w:t>
      </w:r>
      <w:r w:rsidR="00CB67EA">
        <w:rPr>
          <w:rFonts w:cstheme="minorHAnsi"/>
          <w:szCs w:val="22"/>
        </w:rPr>
        <w:t xml:space="preserve"> ενώ αναμένονται</w:t>
      </w:r>
      <w:r w:rsidR="00DA2ED3">
        <w:rPr>
          <w:rFonts w:cstheme="minorHAnsi"/>
          <w:szCs w:val="22"/>
        </w:rPr>
        <w:t xml:space="preserve"> </w:t>
      </w:r>
      <w:r w:rsidR="00A46172">
        <w:rPr>
          <w:rFonts w:cstheme="minorHAnsi"/>
          <w:szCs w:val="22"/>
        </w:rPr>
        <w:t>ακόμα</w:t>
      </w:r>
      <w:r w:rsidR="00CB67EA">
        <w:rPr>
          <w:rFonts w:cstheme="minorHAnsi"/>
          <w:szCs w:val="22"/>
        </w:rPr>
        <w:t xml:space="preserve"> δύο (</w:t>
      </w:r>
      <w:r w:rsidRPr="0029421E">
        <w:rPr>
          <w:rFonts w:cstheme="minorHAnsi"/>
          <w:szCs w:val="22"/>
        </w:rPr>
        <w:t>2</w:t>
      </w:r>
      <w:r w:rsidR="00CB67EA">
        <w:rPr>
          <w:rFonts w:cstheme="minorHAnsi"/>
          <w:szCs w:val="22"/>
        </w:rPr>
        <w:t>)</w:t>
      </w:r>
      <w:r w:rsidR="00A46172" w:rsidRPr="00A46172">
        <w:rPr>
          <w:rFonts w:cstheme="minorHAnsi"/>
          <w:szCs w:val="22"/>
        </w:rPr>
        <w:t xml:space="preserve"> </w:t>
      </w:r>
      <w:r w:rsidR="00A46172" w:rsidRPr="00C9660B">
        <w:rPr>
          <w:rFonts w:cstheme="minorHAnsi"/>
          <w:szCs w:val="22"/>
        </w:rPr>
        <w:t>Airbus</w:t>
      </w:r>
      <w:r w:rsidR="00A46172">
        <w:rPr>
          <w:rFonts w:cstheme="minorHAnsi"/>
          <w:szCs w:val="22"/>
        </w:rPr>
        <w:t xml:space="preserve"> Α321</w:t>
      </w:r>
      <w:r w:rsidR="00A46172" w:rsidRPr="00C9660B">
        <w:rPr>
          <w:rFonts w:cstheme="minorHAnsi"/>
          <w:szCs w:val="22"/>
        </w:rPr>
        <w:t>neo</w:t>
      </w:r>
      <w:r w:rsidR="00A46172">
        <w:rPr>
          <w:rFonts w:cstheme="minorHAnsi"/>
          <w:szCs w:val="22"/>
        </w:rPr>
        <w:t xml:space="preserve"> </w:t>
      </w:r>
      <w:r w:rsidR="00395B22">
        <w:rPr>
          <w:rFonts w:cstheme="minorHAnsi"/>
          <w:szCs w:val="22"/>
        </w:rPr>
        <w:t xml:space="preserve">και </w:t>
      </w:r>
      <w:r w:rsidR="00395B22" w:rsidRPr="00C9660B">
        <w:rPr>
          <w:rFonts w:cstheme="minorHAnsi"/>
          <w:szCs w:val="22"/>
        </w:rPr>
        <w:t xml:space="preserve">ένα (1) </w:t>
      </w:r>
      <w:r w:rsidR="00395B22">
        <w:rPr>
          <w:rFonts w:cstheme="minorHAnsi"/>
          <w:szCs w:val="22"/>
        </w:rPr>
        <w:t>νέο</w:t>
      </w:r>
      <w:r w:rsidR="00395B22" w:rsidRPr="00C9660B">
        <w:rPr>
          <w:rFonts w:cstheme="minorHAnsi"/>
          <w:szCs w:val="22"/>
        </w:rPr>
        <w:t xml:space="preserve"> ATR 72-600</w:t>
      </w:r>
      <w:r w:rsidR="00395B22">
        <w:rPr>
          <w:rFonts w:cstheme="minorHAnsi"/>
          <w:szCs w:val="22"/>
        </w:rPr>
        <w:t xml:space="preserve"> </w:t>
      </w:r>
      <w:r w:rsidR="00DA2ED3">
        <w:rPr>
          <w:rFonts w:cstheme="minorHAnsi"/>
          <w:szCs w:val="22"/>
        </w:rPr>
        <w:t xml:space="preserve">το </w:t>
      </w:r>
      <w:r w:rsidR="00CB67EA">
        <w:rPr>
          <w:rFonts w:cstheme="minorHAnsi"/>
          <w:szCs w:val="22"/>
        </w:rPr>
        <w:t>τελευταίο</w:t>
      </w:r>
      <w:r w:rsidR="00DA2ED3">
        <w:rPr>
          <w:rFonts w:cstheme="minorHAnsi"/>
          <w:szCs w:val="22"/>
        </w:rPr>
        <w:t xml:space="preserve"> </w:t>
      </w:r>
      <w:r w:rsidR="00CB67EA">
        <w:rPr>
          <w:rFonts w:cstheme="minorHAnsi"/>
          <w:szCs w:val="22"/>
        </w:rPr>
        <w:t>τετράμηνο</w:t>
      </w:r>
      <w:r w:rsidR="00DA2ED3">
        <w:rPr>
          <w:rFonts w:cstheme="minorHAnsi"/>
          <w:szCs w:val="22"/>
        </w:rPr>
        <w:t xml:space="preserve"> του </w:t>
      </w:r>
      <w:r w:rsidR="00CB67EA">
        <w:rPr>
          <w:rFonts w:cstheme="minorHAnsi"/>
          <w:szCs w:val="22"/>
        </w:rPr>
        <w:t>έτους</w:t>
      </w:r>
      <w:r w:rsidR="00DA2ED3">
        <w:rPr>
          <w:rFonts w:cstheme="minorHAnsi"/>
          <w:szCs w:val="22"/>
        </w:rPr>
        <w:t>.</w:t>
      </w:r>
    </w:p>
    <w:p w14:paraId="4DCD1E95" w14:textId="6EE5247F" w:rsidR="00BC7551" w:rsidRPr="006C3EF9" w:rsidRDefault="00BC7551" w:rsidP="000E1380">
      <w:pPr>
        <w:tabs>
          <w:tab w:val="left" w:pos="9498"/>
        </w:tabs>
        <w:spacing w:after="240" w:line="276" w:lineRule="auto"/>
        <w:ind w:right="2268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C3EF9">
        <w:rPr>
          <w:rFonts w:cstheme="minorHAnsi"/>
          <w:b/>
          <w:bCs/>
          <w:color w:val="002677"/>
          <w:sz w:val="22"/>
          <w:szCs w:val="22"/>
          <w:lang w:val="el-GR"/>
        </w:rPr>
        <w:t>Ο κ. Δημήτρης Γερογιάννης, Διευθύνων Σύμβουλος, ανέφερε σχετικά:</w:t>
      </w:r>
    </w:p>
    <w:p w14:paraId="773EA359" w14:textId="6BA98291" w:rsidR="00DE2ABD" w:rsidRPr="00DE2ABD" w:rsidRDefault="009D570D" w:rsidP="00DE2ABD">
      <w:pPr>
        <w:spacing w:before="120" w:after="120" w:line="276" w:lineRule="auto"/>
        <w:jc w:val="both"/>
        <w:rPr>
          <w:rFonts w:ascii="Calibri" w:hAnsi="Calibri"/>
          <w:color w:val="243587"/>
          <w:sz w:val="22"/>
          <w:szCs w:val="19"/>
          <w:lang w:val="el-GR"/>
        </w:rPr>
      </w:pPr>
      <w:r w:rsidRPr="002719A5">
        <w:rPr>
          <w:rFonts w:ascii="Calibri" w:hAnsi="Calibri"/>
          <w:color w:val="243587"/>
          <w:sz w:val="22"/>
          <w:szCs w:val="19"/>
          <w:lang w:val="el-GR"/>
        </w:rPr>
        <w:t>«</w:t>
      </w:r>
      <w:r w:rsidR="00DE2ABD" w:rsidRPr="00DE2ABD">
        <w:rPr>
          <w:rFonts w:ascii="Calibri" w:hAnsi="Calibri"/>
          <w:color w:val="243587"/>
          <w:sz w:val="22"/>
          <w:szCs w:val="19"/>
          <w:lang w:val="el-GR"/>
        </w:rPr>
        <w:t xml:space="preserve">Το Α’ Εξάμηνο του 2025 η AEGEAN παρουσίασε εξαιρετικά 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οικονομικά </w:t>
      </w:r>
      <w:r w:rsidR="00DE2ABD" w:rsidRPr="00DE2ABD">
        <w:rPr>
          <w:rFonts w:ascii="Calibri" w:hAnsi="Calibri"/>
          <w:color w:val="243587"/>
          <w:sz w:val="22"/>
          <w:szCs w:val="19"/>
          <w:lang w:val="el-GR"/>
        </w:rPr>
        <w:t xml:space="preserve">αποτελέσματα, παρά τις σημαντικές 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γεωπολιτικές </w:t>
      </w:r>
      <w:r w:rsidR="00DE2ABD" w:rsidRPr="00DE2ABD">
        <w:rPr>
          <w:rFonts w:ascii="Calibri" w:hAnsi="Calibri"/>
          <w:color w:val="243587"/>
          <w:sz w:val="22"/>
          <w:szCs w:val="19"/>
          <w:lang w:val="el-GR"/>
        </w:rPr>
        <w:t>προκλήσεις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που περιόρισαν την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πρόσβαση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μας σε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σημαντικές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αγορές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>ιδιαίτερ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α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το δεύτερο τρίμηνο</w:t>
      </w:r>
      <w:r w:rsidR="00DE2ABD" w:rsidRPr="00DE2ABD">
        <w:rPr>
          <w:rFonts w:ascii="Calibri" w:hAnsi="Calibri"/>
          <w:color w:val="243587"/>
          <w:sz w:val="22"/>
          <w:szCs w:val="19"/>
          <w:lang w:val="el-GR"/>
        </w:rPr>
        <w:t xml:space="preserve">. </w:t>
      </w:r>
    </w:p>
    <w:p w14:paraId="2F6CD4B9" w14:textId="22487D62" w:rsidR="00CB67EA" w:rsidRDefault="00DE2ABD" w:rsidP="00DE2ABD">
      <w:pPr>
        <w:spacing w:before="120" w:after="120" w:line="276" w:lineRule="auto"/>
        <w:jc w:val="both"/>
        <w:rPr>
          <w:rFonts w:ascii="Calibri" w:hAnsi="Calibri"/>
          <w:color w:val="243587"/>
          <w:sz w:val="22"/>
          <w:szCs w:val="19"/>
          <w:lang w:val="el-GR"/>
        </w:rPr>
      </w:pPr>
      <w:r w:rsidRPr="00DE2ABD">
        <w:rPr>
          <w:rFonts w:ascii="Calibri" w:hAnsi="Calibri"/>
          <w:color w:val="243587"/>
          <w:sz w:val="22"/>
          <w:szCs w:val="19"/>
          <w:lang w:val="el-GR"/>
        </w:rPr>
        <w:t xml:space="preserve">Η ζήτηση για ταξίδια 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από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και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Pr="00DE2ABD">
        <w:rPr>
          <w:rFonts w:ascii="Calibri" w:hAnsi="Calibri"/>
          <w:color w:val="243587"/>
          <w:sz w:val="22"/>
          <w:szCs w:val="19"/>
          <w:lang w:val="el-GR"/>
        </w:rPr>
        <w:t>προς την Ελλάδα παραμένε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ι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ισχυρή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με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αύξηση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των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ταξιδιών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τ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όσο των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Ελλήνων όσο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και των επισκεπτών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μας από το εξωτερικό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και με 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>σταδιακή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>ενίσχυση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της ζήτησης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και τους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παραδοσιακά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αδ</w:t>
      </w:r>
      <w:r w:rsidR="001D39CA">
        <w:rPr>
          <w:rFonts w:ascii="Calibri" w:hAnsi="Calibri"/>
          <w:color w:val="243587"/>
          <w:sz w:val="22"/>
          <w:szCs w:val="19"/>
          <w:lang w:val="el-GR"/>
        </w:rPr>
        <w:t>ύ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ν</w:t>
      </w:r>
      <w:r w:rsidR="001D39CA">
        <w:rPr>
          <w:rFonts w:ascii="Calibri" w:hAnsi="Calibri"/>
          <w:color w:val="243587"/>
          <w:sz w:val="22"/>
          <w:szCs w:val="19"/>
          <w:lang w:val="el-GR"/>
        </w:rPr>
        <w:t>α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μους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B67EA">
        <w:rPr>
          <w:rFonts w:ascii="Calibri" w:hAnsi="Calibri"/>
          <w:color w:val="243587"/>
          <w:sz w:val="22"/>
          <w:szCs w:val="19"/>
          <w:lang w:val="el-GR"/>
        </w:rPr>
        <w:t>μήνες</w:t>
      </w:r>
      <w:r w:rsidR="00DA2ED3">
        <w:rPr>
          <w:rFonts w:ascii="Calibri" w:hAnsi="Calibri"/>
          <w:color w:val="243587"/>
          <w:sz w:val="22"/>
          <w:szCs w:val="19"/>
          <w:lang w:val="el-GR"/>
        </w:rPr>
        <w:t>.</w:t>
      </w:r>
    </w:p>
    <w:p w14:paraId="38F76174" w14:textId="77ED8D1A" w:rsidR="00CB67EA" w:rsidRPr="00CB67EA" w:rsidRDefault="00CB67EA" w:rsidP="00DE2ABD">
      <w:pPr>
        <w:spacing w:before="120" w:after="120" w:line="276" w:lineRule="auto"/>
        <w:jc w:val="both"/>
        <w:rPr>
          <w:rFonts w:ascii="Calibri" w:hAnsi="Calibri"/>
          <w:color w:val="243587"/>
          <w:sz w:val="22"/>
          <w:szCs w:val="19"/>
          <w:lang w:val="el-GR"/>
        </w:rPr>
      </w:pP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Παράλληλα, η αυξανόμενη χωρητικότητα της αγοράς από σημαντικό αριθμό αεροπορικών εταιρειών δημιουργεί ένα ιδιαίτερα ανταγωνιστικό περιβάλλον, όπου οι επιβάτες έχουν περισσότερες επιλογές, ενώ η ποιότητα του προϊόντος </w:t>
      </w:r>
      <w:r w:rsidRPr="00C202D7">
        <w:rPr>
          <w:rFonts w:ascii="Calibri" w:hAnsi="Calibri"/>
          <w:color w:val="243587"/>
          <w:sz w:val="22"/>
          <w:szCs w:val="19"/>
          <w:lang w:val="el-GR"/>
        </w:rPr>
        <w:t>αποκτά ολοένα και μεγαλύτερη σημασία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 ως στοιχείο διαφοροποίησης. Σε αυτό το </w:t>
      </w:r>
      <w:r>
        <w:rPr>
          <w:rFonts w:ascii="Calibri" w:hAnsi="Calibri"/>
          <w:color w:val="243587"/>
          <w:sz w:val="22"/>
          <w:szCs w:val="19"/>
          <w:lang w:val="el-GR"/>
        </w:rPr>
        <w:t>περιβάλλον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, οι επενδύσεις μας στις υποδομές εκπαίδευσης και </w:t>
      </w:r>
      <w:r>
        <w:rPr>
          <w:rFonts w:ascii="Calibri" w:hAnsi="Calibri"/>
          <w:color w:val="243587"/>
          <w:sz w:val="22"/>
          <w:szCs w:val="19"/>
          <w:lang w:val="el-GR"/>
        </w:rPr>
        <w:t>διεύρυνσης των δυνατοτήτων των ανθρώπων μας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, αλλά και το γεγονός ότι τα 26 </w:t>
      </w:r>
      <w:r w:rsidRPr="00CB67EA">
        <w:rPr>
          <w:rFonts w:ascii="Calibri" w:hAnsi="Calibri"/>
          <w:color w:val="243587"/>
          <w:sz w:val="22"/>
          <w:szCs w:val="19"/>
        </w:rPr>
        <w:t>Airbus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 αεροσκάφη που αναμένουμε </w:t>
      </w:r>
      <w:r w:rsidR="00395B22">
        <w:rPr>
          <w:rFonts w:ascii="Calibri" w:hAnsi="Calibri"/>
          <w:color w:val="243587"/>
          <w:sz w:val="22"/>
          <w:szCs w:val="19"/>
          <w:lang w:val="el-GR"/>
        </w:rPr>
        <w:t xml:space="preserve">να παραλάβουμε 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>είναι όλα της μεγαλύτερης έκδοσης</w:t>
      </w:r>
      <w:r w:rsidR="00395B22">
        <w:rPr>
          <w:rFonts w:ascii="Calibri" w:hAnsi="Calibri"/>
          <w:color w:val="243587"/>
          <w:sz w:val="22"/>
          <w:szCs w:val="19"/>
          <w:lang w:val="el-GR"/>
        </w:rPr>
        <w:t xml:space="preserve"> Α321</w:t>
      </w:r>
      <w:r w:rsidR="00395B22">
        <w:rPr>
          <w:rFonts w:ascii="Calibri" w:hAnsi="Calibri"/>
          <w:color w:val="243587"/>
          <w:sz w:val="22"/>
          <w:szCs w:val="19"/>
          <w:lang w:val="en-US"/>
        </w:rPr>
        <w:t>neo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, </w:t>
      </w:r>
      <w:r>
        <w:rPr>
          <w:rFonts w:ascii="Calibri" w:hAnsi="Calibri"/>
          <w:color w:val="243587"/>
          <w:sz w:val="22"/>
          <w:szCs w:val="19"/>
          <w:lang w:val="el-GR"/>
        </w:rPr>
        <w:t>είναι σημαντικά</w:t>
      </w:r>
      <w:r w:rsidRPr="00CB67EA">
        <w:rPr>
          <w:rFonts w:ascii="Calibri" w:hAnsi="Calibri"/>
          <w:color w:val="243587"/>
          <w:sz w:val="22"/>
          <w:szCs w:val="19"/>
          <w:lang w:val="el-GR"/>
        </w:rPr>
        <w:t xml:space="preserve"> για την ενίσχυση της ανταγωνιστικότητάς μας.</w:t>
      </w:r>
    </w:p>
    <w:p w14:paraId="1C35E18A" w14:textId="77777777" w:rsidR="00C202D7" w:rsidRDefault="00CB67EA" w:rsidP="00D026F7">
      <w:pPr>
        <w:spacing w:before="120" w:after="120" w:line="276" w:lineRule="auto"/>
        <w:jc w:val="both"/>
        <w:rPr>
          <w:rFonts w:ascii="Calibri" w:hAnsi="Calibri"/>
          <w:color w:val="243587"/>
          <w:sz w:val="22"/>
          <w:szCs w:val="19"/>
          <w:lang w:val="el-GR"/>
        </w:rPr>
      </w:pPr>
      <w:r>
        <w:rPr>
          <w:rFonts w:ascii="Calibri" w:hAnsi="Calibri"/>
          <w:color w:val="243587"/>
          <w:sz w:val="22"/>
          <w:szCs w:val="19"/>
          <w:lang w:val="el-GR"/>
        </w:rPr>
        <w:t>Παράλληλα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στους </w:t>
      </w:r>
      <w:r>
        <w:rPr>
          <w:rFonts w:ascii="Calibri" w:hAnsi="Calibri"/>
          <w:color w:val="243587"/>
          <w:sz w:val="22"/>
          <w:szCs w:val="19"/>
          <w:lang w:val="el-GR"/>
        </w:rPr>
        <w:t>επόμενους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>
        <w:rPr>
          <w:rFonts w:ascii="Calibri" w:hAnsi="Calibri"/>
          <w:color w:val="243587"/>
          <w:sz w:val="22"/>
          <w:szCs w:val="19"/>
          <w:lang w:val="el-GR"/>
        </w:rPr>
        <w:t>περίπου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24-28 </w:t>
      </w:r>
      <w:r>
        <w:rPr>
          <w:rFonts w:ascii="Calibri" w:hAnsi="Calibri"/>
          <w:color w:val="243587"/>
          <w:sz w:val="22"/>
          <w:szCs w:val="19"/>
          <w:lang w:val="el-GR"/>
        </w:rPr>
        <w:t>μήνες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από </w:t>
      </w:r>
      <w:r>
        <w:rPr>
          <w:rFonts w:ascii="Calibri" w:hAnsi="Calibri"/>
          <w:color w:val="243587"/>
          <w:sz w:val="22"/>
          <w:szCs w:val="19"/>
          <w:lang w:val="el-GR"/>
        </w:rPr>
        <w:t>σήμερα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>
        <w:rPr>
          <w:rFonts w:ascii="Calibri" w:hAnsi="Calibri"/>
          <w:color w:val="243587"/>
          <w:sz w:val="22"/>
          <w:szCs w:val="19"/>
          <w:lang w:val="el-GR"/>
        </w:rPr>
        <w:t>αναμένουμε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να </w:t>
      </w:r>
      <w:r>
        <w:rPr>
          <w:rFonts w:ascii="Calibri" w:hAnsi="Calibri"/>
          <w:color w:val="243587"/>
          <w:sz w:val="22"/>
          <w:szCs w:val="19"/>
          <w:lang w:val="el-GR"/>
        </w:rPr>
        <w:t>ολοκληρωθεί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ο </w:t>
      </w:r>
      <w:r>
        <w:rPr>
          <w:rFonts w:ascii="Calibri" w:hAnsi="Calibri"/>
          <w:color w:val="243587"/>
          <w:sz w:val="22"/>
          <w:szCs w:val="19"/>
          <w:lang w:val="el-GR"/>
        </w:rPr>
        <w:t>κύκλος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των </w:t>
      </w:r>
      <w:r>
        <w:rPr>
          <w:rFonts w:ascii="Calibri" w:hAnsi="Calibri"/>
          <w:color w:val="243587"/>
          <w:sz w:val="22"/>
          <w:szCs w:val="19"/>
          <w:lang w:val="el-GR"/>
        </w:rPr>
        <w:t>προώρων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ελέγχων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 των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κινητήρων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E06D20">
        <w:rPr>
          <w:rFonts w:ascii="Calibri" w:hAnsi="Calibri"/>
          <w:color w:val="243587"/>
          <w:sz w:val="22"/>
          <w:szCs w:val="19"/>
          <w:lang w:val="en-US"/>
        </w:rPr>
        <w:t>GTF</w:t>
      </w:r>
      <w:r w:rsidR="00E06D20" w:rsidRP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της </w:t>
      </w:r>
      <w:r w:rsidR="00E06D20">
        <w:rPr>
          <w:rFonts w:ascii="Calibri" w:hAnsi="Calibri"/>
          <w:color w:val="243587"/>
          <w:sz w:val="22"/>
          <w:szCs w:val="19"/>
          <w:lang w:val="en-US"/>
        </w:rPr>
        <w:t>Pratt</w:t>
      </w:r>
      <w:r w:rsidR="00E06D20" w:rsidRPr="00E06D20">
        <w:rPr>
          <w:rFonts w:ascii="Calibri" w:hAnsi="Calibri"/>
          <w:color w:val="243587"/>
          <w:sz w:val="22"/>
          <w:szCs w:val="19"/>
          <w:lang w:val="el-GR"/>
        </w:rPr>
        <w:t xml:space="preserve"> &amp; </w:t>
      </w:r>
      <w:r w:rsidR="00E06D20">
        <w:rPr>
          <w:rFonts w:ascii="Calibri" w:hAnsi="Calibri"/>
          <w:color w:val="243587"/>
          <w:sz w:val="22"/>
          <w:szCs w:val="19"/>
          <w:lang w:val="en-US"/>
        </w:rPr>
        <w:t>Whitney</w:t>
      </w:r>
      <w:r w:rsidR="00E06D20" w:rsidRPr="00E06D20">
        <w:rPr>
          <w:rFonts w:ascii="Calibri" w:hAnsi="Calibri"/>
          <w:color w:val="243587"/>
          <w:sz w:val="22"/>
          <w:szCs w:val="19"/>
          <w:lang w:val="el-GR"/>
        </w:rPr>
        <w:t xml:space="preserve">,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δίνοντας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σταδιακά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ξανά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στην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παραγωγή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το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σύνολο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των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νέων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αεροσκαφών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που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έχουμε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παραλάβει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με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σημαντικές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επιπτώσεις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τόσο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στο μοναδια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ί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ο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κόστος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όσο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και στις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δυνατότητες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ανάπτυξης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της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εταιρείας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μας.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Παράλληλα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στο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ίδιο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διάστημα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η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σταδιακή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άφιξη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των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 xml:space="preserve"> έξι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(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>6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)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Α321 </w:t>
      </w:r>
      <w:r w:rsidR="00E06D20">
        <w:rPr>
          <w:rFonts w:ascii="Calibri" w:hAnsi="Calibri"/>
          <w:color w:val="243587"/>
          <w:sz w:val="22"/>
          <w:szCs w:val="19"/>
          <w:lang w:val="en-US"/>
        </w:rPr>
        <w:t>XLR</w:t>
      </w:r>
      <w:r w:rsidR="00E06D20" w:rsidRPr="00E06D20">
        <w:rPr>
          <w:rFonts w:ascii="Calibri" w:hAnsi="Calibri"/>
          <w:color w:val="243587"/>
          <w:sz w:val="22"/>
          <w:szCs w:val="19"/>
          <w:lang w:val="el-GR"/>
        </w:rPr>
        <w:t xml:space="preserve"> / </w:t>
      </w:r>
      <w:r w:rsidR="00E06D20">
        <w:rPr>
          <w:rFonts w:ascii="Calibri" w:hAnsi="Calibri"/>
          <w:color w:val="243587"/>
          <w:sz w:val="22"/>
          <w:szCs w:val="19"/>
          <w:lang w:val="en-US"/>
        </w:rPr>
        <w:t>LR</w:t>
      </w:r>
      <w:r w:rsidR="00E06D20" w:rsidRP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μας ανοίγει το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δρόμο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για νέο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επίπεδο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άνεσης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και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υπηρεσιών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στους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προορισμούς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εκτός</w:t>
      </w:r>
      <w:r w:rsidR="00E06D20">
        <w:rPr>
          <w:rFonts w:ascii="Calibri" w:hAnsi="Calibri"/>
          <w:color w:val="243587"/>
          <w:sz w:val="22"/>
          <w:szCs w:val="19"/>
          <w:lang w:val="el-GR"/>
        </w:rPr>
        <w:t xml:space="preserve"> ΕΕ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αλλά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και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προσθήκες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νέων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πιο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απομακρυσμένων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αγορών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και προορισμών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, με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πρώτο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βήμα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όπως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ανακοινώσαμε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την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αγορά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της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Ι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>νδ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ί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ας από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αρχές</w:t>
      </w:r>
      <w:r w:rsidR="00D026F7">
        <w:rPr>
          <w:rFonts w:ascii="Calibri" w:hAnsi="Calibri"/>
          <w:color w:val="243587"/>
          <w:sz w:val="22"/>
          <w:szCs w:val="19"/>
          <w:lang w:val="el-GR"/>
        </w:rPr>
        <w:t xml:space="preserve"> του 2026. </w:t>
      </w:r>
    </w:p>
    <w:p w14:paraId="2E387388" w14:textId="00854DDA" w:rsidR="00D026F7" w:rsidRPr="00883B17" w:rsidRDefault="00D026F7" w:rsidP="00D026F7">
      <w:pPr>
        <w:spacing w:before="120" w:after="120" w:line="276" w:lineRule="auto"/>
        <w:jc w:val="both"/>
        <w:rPr>
          <w:rFonts w:ascii="Calibri" w:hAnsi="Calibri"/>
          <w:color w:val="243587"/>
          <w:sz w:val="22"/>
          <w:szCs w:val="19"/>
          <w:lang w:val="el-GR"/>
        </w:rPr>
      </w:pPr>
      <w:r w:rsidRPr="00DE2ABD">
        <w:rPr>
          <w:rFonts w:ascii="Calibri" w:hAnsi="Calibri"/>
          <w:color w:val="243587"/>
          <w:sz w:val="22"/>
          <w:szCs w:val="19"/>
          <w:lang w:val="el-GR"/>
        </w:rPr>
        <w:t xml:space="preserve">Τα βήματα 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μας </w:t>
      </w:r>
      <w:r w:rsidRPr="00DE2ABD">
        <w:rPr>
          <w:rFonts w:ascii="Calibri" w:hAnsi="Calibri"/>
          <w:color w:val="243587"/>
          <w:sz w:val="22"/>
          <w:szCs w:val="19"/>
          <w:lang w:val="el-GR"/>
        </w:rPr>
        <w:t>είναι προσεκτικά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Pr="00DE2ABD">
        <w:rPr>
          <w:rFonts w:ascii="Calibri" w:hAnsi="Calibri"/>
          <w:color w:val="243587"/>
          <w:sz w:val="22"/>
          <w:szCs w:val="19"/>
          <w:lang w:val="el-GR"/>
        </w:rPr>
        <w:t>και συνεπή, ώστε να διασφαλίζουν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τη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δυναμική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και τη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δημιουργικότητα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του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οργανισμού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αλλά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και τη σταθερότητα της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πορείας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μας για τους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μετόχους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μας, τους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εργαζομένους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μας και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φυσικά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τους </w:t>
      </w:r>
      <w:r w:rsidR="00C202D7">
        <w:rPr>
          <w:rFonts w:ascii="Calibri" w:hAnsi="Calibri"/>
          <w:color w:val="243587"/>
          <w:sz w:val="22"/>
          <w:szCs w:val="19"/>
          <w:lang w:val="el-GR"/>
        </w:rPr>
        <w:t>επιβάτες</w:t>
      </w:r>
      <w:r>
        <w:rPr>
          <w:rFonts w:ascii="Calibri" w:hAnsi="Calibri"/>
          <w:color w:val="243587"/>
          <w:sz w:val="22"/>
          <w:szCs w:val="19"/>
          <w:lang w:val="el-GR"/>
        </w:rPr>
        <w:t xml:space="preserve"> μας</w:t>
      </w:r>
      <w:r w:rsidRPr="00883B17">
        <w:rPr>
          <w:rFonts w:ascii="Calibri" w:hAnsi="Calibri"/>
          <w:color w:val="243587"/>
          <w:sz w:val="22"/>
          <w:szCs w:val="19"/>
          <w:lang w:val="el-GR"/>
        </w:rPr>
        <w:t>».</w:t>
      </w:r>
    </w:p>
    <w:p w14:paraId="3DB50522" w14:textId="0E3FFA5E" w:rsidR="008C4ADC" w:rsidRDefault="00105AB8" w:rsidP="000E1380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  <w:r>
        <w:rPr>
          <w:rFonts w:cstheme="minorHAnsi"/>
          <w:color w:val="002677"/>
          <w:sz w:val="22"/>
          <w:szCs w:val="22"/>
          <w:lang w:val="el-GR"/>
        </w:rPr>
        <w:t xml:space="preserve">Η </w:t>
      </w:r>
      <w:r w:rsidRPr="00105AB8">
        <w:rPr>
          <w:rFonts w:cstheme="minorHAnsi"/>
          <w:color w:val="002677"/>
          <w:sz w:val="22"/>
          <w:szCs w:val="22"/>
          <w:lang w:val="el-GR"/>
        </w:rPr>
        <w:t>διοίκηση της AEGEAN θα διενεργήσει τηλεδιάσκεψη (conference call) με θέμα συζήτησης «</w:t>
      </w:r>
      <w:r w:rsidRPr="00105AB8">
        <w:rPr>
          <w:rFonts w:cstheme="minorHAnsi"/>
          <w:b/>
          <w:bCs/>
          <w:color w:val="002677"/>
          <w:sz w:val="22"/>
          <w:szCs w:val="22"/>
          <w:lang w:val="el-GR"/>
        </w:rPr>
        <w:t>Αποτελέσματα του Πρώτου Εξαμήνου 2025</w:t>
      </w:r>
      <w:r w:rsidRPr="00105AB8">
        <w:rPr>
          <w:rFonts w:cstheme="minorHAnsi"/>
          <w:color w:val="002677"/>
          <w:sz w:val="22"/>
          <w:szCs w:val="22"/>
          <w:lang w:val="el-GR"/>
        </w:rPr>
        <w:t xml:space="preserve">», την </w:t>
      </w:r>
      <w:r w:rsidRPr="00105AB8">
        <w:rPr>
          <w:rFonts w:cstheme="minorHAnsi"/>
          <w:b/>
          <w:bCs/>
          <w:color w:val="002677"/>
          <w:sz w:val="22"/>
          <w:szCs w:val="22"/>
          <w:lang w:val="el-GR"/>
        </w:rPr>
        <w:t>Τετάρτη 17 Σεπτεμβρίου 2025</w:t>
      </w:r>
      <w:r w:rsidRPr="00105AB8">
        <w:rPr>
          <w:rFonts w:cstheme="minorHAnsi"/>
          <w:color w:val="002677"/>
          <w:sz w:val="22"/>
          <w:szCs w:val="22"/>
          <w:lang w:val="el-GR"/>
        </w:rPr>
        <w:t xml:space="preserve"> στις </w:t>
      </w:r>
      <w:r w:rsidRPr="00105AB8">
        <w:rPr>
          <w:rFonts w:cstheme="minorHAnsi"/>
          <w:b/>
          <w:bCs/>
          <w:color w:val="002677"/>
          <w:sz w:val="22"/>
          <w:szCs w:val="22"/>
          <w:lang w:val="el-GR"/>
        </w:rPr>
        <w:t>16:00 ώρα Ελλάδος</w:t>
      </w:r>
      <w:r w:rsidRPr="00105AB8">
        <w:rPr>
          <w:rFonts w:cstheme="minorHAnsi"/>
          <w:color w:val="002677"/>
          <w:sz w:val="22"/>
          <w:szCs w:val="22"/>
          <w:lang w:val="el-GR"/>
        </w:rPr>
        <w:t>.</w:t>
      </w:r>
    </w:p>
    <w:p w14:paraId="66591256" w14:textId="77777777" w:rsidR="00105AB8" w:rsidRPr="006C3EF9" w:rsidRDefault="00105AB8" w:rsidP="000E1380">
      <w:pPr>
        <w:spacing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4207B95" w14:textId="77777777" w:rsidR="000E1380" w:rsidRDefault="00CB0A47" w:rsidP="000E1380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  <w:r w:rsidRPr="006C3EF9">
        <w:rPr>
          <w:rFonts w:cstheme="minorHAnsi"/>
          <w:color w:val="002677"/>
          <w:sz w:val="22"/>
          <w:szCs w:val="22"/>
          <w:lang w:val="el-GR"/>
        </w:rPr>
        <w:t>Λεπτομέρειες έχουν αναρτηθεί στην ιστοσελίδα της Εταιρείας</w:t>
      </w:r>
      <w:r w:rsidR="003D0A29">
        <w:rPr>
          <w:rFonts w:cstheme="minorHAnsi"/>
          <w:color w:val="002677"/>
          <w:sz w:val="22"/>
          <w:szCs w:val="22"/>
          <w:lang w:val="el-GR"/>
        </w:rPr>
        <w:t>:</w:t>
      </w:r>
    </w:p>
    <w:p w14:paraId="6492B27B" w14:textId="2D31CC43" w:rsidR="008C4ADC" w:rsidRDefault="00883B17" w:rsidP="000E1380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  <w:hyperlink w:history="1">
        <w:r w:rsidRPr="00646018">
          <w:rPr>
            <w:rStyle w:val="Hyperlink"/>
            <w:rFonts w:cstheme="minorHAnsi"/>
            <w:sz w:val="22"/>
            <w:szCs w:val="22"/>
            <w:lang w:val="el-GR"/>
          </w:rPr>
          <w:t>https://el.about.aegeanair.com/ependytes/anakoinoseis/announcements/</w:t>
        </w:r>
      </w:hyperlink>
    </w:p>
    <w:p w14:paraId="6D5274C7" w14:textId="77777777" w:rsidR="00A1652E" w:rsidRDefault="00A1652E" w:rsidP="000E1380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574C8CD" w14:textId="77777777" w:rsidR="002D6F37" w:rsidRPr="002531E4" w:rsidRDefault="002D6F37" w:rsidP="000C7153">
      <w:pPr>
        <w:spacing w:line="276" w:lineRule="auto"/>
        <w:rPr>
          <w:rFonts w:cstheme="minorHAnsi"/>
          <w:color w:val="002677"/>
          <w:sz w:val="22"/>
          <w:szCs w:val="22"/>
          <w:lang w:val="el-GR"/>
        </w:rPr>
      </w:pPr>
    </w:p>
    <w:p w14:paraId="18B2DA2D" w14:textId="77777777" w:rsidR="002531E4" w:rsidRDefault="002531E4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bookmarkStart w:id="0" w:name="_Hlk135065040"/>
      <w:bookmarkStart w:id="1" w:name="_Hlk176427893"/>
    </w:p>
    <w:p w14:paraId="1AB04C46" w14:textId="77777777" w:rsidR="006B2955" w:rsidRDefault="006B2955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4D92B3B" w14:textId="77777777" w:rsidR="006B2955" w:rsidRDefault="006B2955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088F20B" w14:textId="523041DD" w:rsidR="00B7771D" w:rsidRPr="00012ADF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0801F0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>Αποτελέσματα Ομίλου Δευτέρου Τριμήνου και Πρώτου Εξαμήνου 202</w:t>
      </w:r>
      <w:r w:rsidR="00012ADF" w:rsidRPr="00012ADF">
        <w:rPr>
          <w:rFonts w:cstheme="minorHAnsi"/>
          <w:b/>
          <w:bCs/>
          <w:color w:val="002677"/>
          <w:sz w:val="22"/>
          <w:szCs w:val="22"/>
          <w:lang w:val="el-GR"/>
        </w:rPr>
        <w:t>5</w:t>
      </w:r>
    </w:p>
    <w:tbl>
      <w:tblPr>
        <w:tblW w:w="10526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851"/>
        <w:gridCol w:w="1559"/>
        <w:gridCol w:w="1559"/>
        <w:gridCol w:w="745"/>
      </w:tblGrid>
      <w:tr w:rsidR="00B7771D" w:rsidRPr="00B563F5" w14:paraId="062078FA" w14:textId="77777777" w:rsidTr="00A02125">
        <w:trPr>
          <w:trHeight w:val="195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70BA475E" w14:textId="77777777" w:rsidR="00B7771D" w:rsidRPr="00B563F5" w:rsidRDefault="00B7771D" w:rsidP="00BE2482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σε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εκατ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3550C3E8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76785E57" w14:textId="748608FB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02C81F41" w14:textId="69B74FB6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5263A69A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53FB3F4F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68B8909D" w14:textId="37EECC8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0B90CBDA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4CE9247D" w14:textId="463D2E34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2729B564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</w:tr>
      <w:tr w:rsidR="002B41F2" w:rsidRPr="00B563F5" w14:paraId="30CB5DF2" w14:textId="77777777" w:rsidTr="00A443B2">
        <w:trPr>
          <w:trHeight w:val="238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6CDB26A" w14:textId="77777777" w:rsidR="002B41F2" w:rsidRPr="00B563F5" w:rsidRDefault="002B41F2" w:rsidP="002B41F2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Έσοδα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3C424AB3" w14:textId="64683358" w:rsidR="002B41F2" w:rsidRPr="000801F0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480,3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63885B9" w14:textId="26C9492F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480,9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16EFC19" w14:textId="69BE385C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29CA2885" w14:textId="2A84B304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749,1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B813D33" w14:textId="525F23B5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787,0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3815A0EC" w14:textId="6D7EF085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</w:tr>
      <w:tr w:rsidR="002B41F2" w:rsidRPr="00B563F5" w14:paraId="740A9694" w14:textId="77777777" w:rsidTr="00A443B2">
        <w:trPr>
          <w:trHeight w:val="262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04DFC916" w14:textId="77777777" w:rsidR="002B41F2" w:rsidRPr="00B563F5" w:rsidRDefault="002B41F2" w:rsidP="002B41F2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EBITDA</w:t>
            </w:r>
            <w:r w:rsidRPr="00B563F5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831FF00" w14:textId="1565F2C2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114,4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1106AB5" w14:textId="4DAF7A06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7DDA7512" w14:textId="0D3F7D28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0CA3324" w14:textId="408E2B97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147,6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2818D2CE" w14:textId="728EB57A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156,2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B5C03CC" w14:textId="6F1B169E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6%</w:t>
            </w:r>
          </w:p>
        </w:tc>
      </w:tr>
      <w:tr w:rsidR="002B41F2" w:rsidRPr="000801F0" w14:paraId="380E85E8" w14:textId="77777777" w:rsidTr="00A443B2">
        <w:trPr>
          <w:trHeight w:val="280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</w:tcPr>
          <w:p w14:paraId="553F9411" w14:textId="77777777" w:rsidR="002B41F2" w:rsidRPr="00B563F5" w:rsidRDefault="002B41F2" w:rsidP="002B41F2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Κέρδη/(Ζημίες) προ φόρων και τόκων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3202406" w14:textId="0EEEE163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0312B77A" w14:textId="00E09A8D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01566C5" w14:textId="654D832E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-13%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0143474" w14:textId="625C59A4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322D34C0" w14:textId="5625A884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58,9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B4D85B1" w14:textId="1681C28D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-7%</w:t>
            </w:r>
          </w:p>
        </w:tc>
      </w:tr>
      <w:tr w:rsidR="002B41F2" w:rsidRPr="00B563F5" w14:paraId="1164C8F8" w14:textId="77777777" w:rsidTr="00A443B2">
        <w:trPr>
          <w:trHeight w:val="280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033EE60" w14:textId="77777777" w:rsidR="002B41F2" w:rsidRPr="00B563F5" w:rsidRDefault="002B41F2" w:rsidP="002B41F2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Κέρδη/(Ζημίες) προ φόρων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34C8B3B" w14:textId="3294B43C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2A860C4F" w14:textId="7970473B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73,5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7392FD2D" w14:textId="66D0561D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6907AD51" w14:textId="357B0F23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6690F3EF" w14:textId="26CBD138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66,0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61EB0D29" w14:textId="75B86E3D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109%</w:t>
            </w:r>
          </w:p>
        </w:tc>
      </w:tr>
      <w:tr w:rsidR="002B41F2" w:rsidRPr="00B563F5" w14:paraId="613B6728" w14:textId="77777777" w:rsidTr="00A443B2">
        <w:trPr>
          <w:trHeight w:val="184"/>
        </w:trPr>
        <w:tc>
          <w:tcPr>
            <w:tcW w:w="269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627E9B39" w14:textId="77777777" w:rsidR="002B41F2" w:rsidRPr="00B563F5" w:rsidRDefault="002B41F2" w:rsidP="002B41F2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Κέρδη/(Ζημίες) μετά από φόρους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2E15BE56" w14:textId="60C7DE77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1333C0E9" w14:textId="35CDCDFD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37C720D" w14:textId="282D9B68" w:rsidR="002B41F2" w:rsidRPr="00CE25BF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24%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8303A89" w14:textId="0553D7ED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0D425D22" w14:textId="210F26B3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47,9</w:t>
            </w:r>
          </w:p>
        </w:tc>
        <w:tc>
          <w:tcPr>
            <w:tcW w:w="7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5FBA024" w14:textId="5452AA89" w:rsidR="002B41F2" w:rsidRPr="00B563F5" w:rsidRDefault="002B41F2" w:rsidP="002B41F2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2B41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109%</w:t>
            </w:r>
          </w:p>
        </w:tc>
      </w:tr>
    </w:tbl>
    <w:p w14:paraId="3EF160D1" w14:textId="77777777" w:rsidR="00B7771D" w:rsidRDefault="00B7771D" w:rsidP="00B7771D">
      <w:pPr>
        <w:spacing w:line="276" w:lineRule="auto"/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4D1C125C" w14:textId="77777777" w:rsidR="00B7771D" w:rsidRPr="007D164D" w:rsidRDefault="00B7771D" w:rsidP="007D164D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  <w:r w:rsidRPr="007D164D">
        <w:rPr>
          <w:rFonts w:cstheme="minorHAnsi"/>
          <w:color w:val="002677"/>
          <w:sz w:val="14"/>
          <w:szCs w:val="14"/>
          <w:lang w:val="el-GR"/>
        </w:rPr>
        <w:t>Σημείωση:</w:t>
      </w:r>
    </w:p>
    <w:p w14:paraId="48F9247E" w14:textId="77777777" w:rsidR="00B7771D" w:rsidRPr="007D164D" w:rsidRDefault="00B7771D" w:rsidP="007D164D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  <w:r w:rsidRPr="007D164D">
        <w:rPr>
          <w:rFonts w:cstheme="minorHAnsi"/>
          <w:color w:val="002677"/>
          <w:sz w:val="14"/>
          <w:szCs w:val="14"/>
          <w:vertAlign w:val="superscript"/>
          <w:lang w:val="el-GR"/>
        </w:rPr>
        <w:t xml:space="preserve">1 </w:t>
      </w:r>
      <w:r w:rsidRPr="007D164D">
        <w:rPr>
          <w:rFonts w:cstheme="minorHAnsi"/>
          <w:color w:val="002677"/>
          <w:sz w:val="14"/>
          <w:szCs w:val="14"/>
          <w:lang w:val="el-GR"/>
        </w:rPr>
        <w:t>Κέρδη προ φόρων, χρηματοδοτικών και επενδυτικών αποτελεσμάτων και αποσβέσεων.</w:t>
      </w:r>
    </w:p>
    <w:p w14:paraId="18F9E425" w14:textId="77777777" w:rsidR="00B7771D" w:rsidRPr="00AA67E7" w:rsidRDefault="00B7771D" w:rsidP="00B7771D">
      <w:pPr>
        <w:pStyle w:val="FootnoteText"/>
        <w:spacing w:line="276" w:lineRule="auto"/>
        <w:jc w:val="both"/>
        <w:rPr>
          <w:rFonts w:asciiTheme="minorHAnsi" w:eastAsiaTheme="minorHAnsi" w:hAnsiTheme="minorHAnsi" w:cstheme="minorHAnsi"/>
          <w:color w:val="002677"/>
          <w:sz w:val="22"/>
          <w:szCs w:val="22"/>
          <w:lang w:eastAsia="en-US"/>
        </w:rPr>
      </w:pPr>
    </w:p>
    <w:tbl>
      <w:tblPr>
        <w:tblW w:w="10532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851"/>
        <w:gridCol w:w="1559"/>
        <w:gridCol w:w="1559"/>
        <w:gridCol w:w="893"/>
      </w:tblGrid>
      <w:tr w:rsidR="00012ADF" w:rsidRPr="00B563F5" w14:paraId="5268F521" w14:textId="77777777" w:rsidTr="00A02125">
        <w:trPr>
          <w:trHeight w:val="161"/>
        </w:trPr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45B22846" w14:textId="77777777" w:rsidR="00012ADF" w:rsidRPr="00B563F5" w:rsidRDefault="00012ADF" w:rsidP="00012ADF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  <w:hideMark/>
          </w:tcPr>
          <w:p w14:paraId="5A167920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7F55C939" w14:textId="2B31B79D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19157BFB" w14:textId="019896C8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684211CA" w14:textId="1DC08D65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4D3E962A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360D271B" w14:textId="75139E99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15CF3F37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31BE9DF8" w14:textId="4AB8E6AA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89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center"/>
          </w:tcPr>
          <w:p w14:paraId="78BEFFD1" w14:textId="6EEF412A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</w:tr>
      <w:tr w:rsidR="00712BB0" w:rsidRPr="00B563F5" w14:paraId="41AFDD24" w14:textId="77777777" w:rsidTr="009A2FE6">
        <w:trPr>
          <w:trHeight w:val="421"/>
        </w:trPr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F90C4BD" w14:textId="2D0DDD77" w:rsidR="00712BB0" w:rsidRPr="00B563F5" w:rsidRDefault="00712BB0" w:rsidP="00712BB0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Σύνολο Επιβατών (‘000)</w:t>
            </w:r>
            <w:r w:rsidRPr="00B7771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  <w:hideMark/>
          </w:tcPr>
          <w:p w14:paraId="0FD840A8" w14:textId="463728F5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4.400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76353722" w14:textId="0B02D585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4.479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729105D7" w14:textId="78629504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099F7ED" w14:textId="68D63793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7.256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6DC90B72" w14:textId="263E6DD1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7.572</w:t>
            </w:r>
          </w:p>
        </w:tc>
        <w:tc>
          <w:tcPr>
            <w:tcW w:w="89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4C91823" w14:textId="73C7A1EA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712BB0" w:rsidRPr="00B563F5" w14:paraId="11B2F1FC" w14:textId="77777777" w:rsidTr="00F06668">
        <w:trPr>
          <w:trHeight w:val="217"/>
        </w:trPr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2C39389" w14:textId="77777777" w:rsidR="00712BB0" w:rsidRPr="000801F0" w:rsidRDefault="00712BB0" w:rsidP="00712BB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Χιλιομετρικοί επιβάτες</w:t>
            </w:r>
          </w:p>
          <w:p w14:paraId="73FF9FFF" w14:textId="5D2FBC82" w:rsidR="00712BB0" w:rsidRPr="000801F0" w:rsidRDefault="00712BB0" w:rsidP="00712BB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RPKs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σε εκατ.)</w:t>
            </w:r>
            <w:r w:rsidRPr="002531E4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</w:t>
            </w:r>
            <w:r w:rsidRPr="00B7771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  <w:hideMark/>
          </w:tcPr>
          <w:p w14:paraId="30A9E071" w14:textId="173367CA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4.688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00140A9F" w14:textId="61031DEF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4.656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BE838C0" w14:textId="5110053D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36D5E010" w14:textId="6A31029A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7.745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601A3C6" w14:textId="5AED0996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7.999</w:t>
            </w:r>
          </w:p>
        </w:tc>
        <w:tc>
          <w:tcPr>
            <w:tcW w:w="89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7F4B43A" w14:textId="4FE326A7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3%</w:t>
            </w:r>
          </w:p>
        </w:tc>
      </w:tr>
      <w:tr w:rsidR="00712BB0" w:rsidRPr="00B563F5" w14:paraId="224E13F0" w14:textId="77777777" w:rsidTr="00D51AD4">
        <w:trPr>
          <w:trHeight w:val="233"/>
        </w:trPr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18FA0D04" w14:textId="77777777" w:rsidR="00712BB0" w:rsidRPr="000801F0" w:rsidRDefault="00712BB0" w:rsidP="00712BB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Χιλιομετρικές Θέσεις </w:t>
            </w:r>
          </w:p>
          <w:p w14:paraId="4BD21C55" w14:textId="70B84391" w:rsidR="00712BB0" w:rsidRPr="000801F0" w:rsidRDefault="00712BB0" w:rsidP="00712BB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ASKs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σε εκατ.)</w:t>
            </w:r>
            <w:r w:rsidRPr="002531E4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</w:t>
            </w:r>
            <w:r w:rsidRPr="00B7771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  <w:hideMark/>
          </w:tcPr>
          <w:p w14:paraId="5695C677" w14:textId="524F8BE7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5.783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AEB980D" w14:textId="19C89840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5.723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B34F5E0" w14:textId="01031F17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9C97355" w14:textId="0F3D8C4C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9.534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05A5F5E" w14:textId="63A9D07D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9.883</w:t>
            </w:r>
          </w:p>
        </w:tc>
        <w:tc>
          <w:tcPr>
            <w:tcW w:w="89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36096AAC" w14:textId="75E50AA9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712BB0" w:rsidRPr="00B563F5" w14:paraId="24530971" w14:textId="77777777" w:rsidTr="00C701EE">
        <w:trPr>
          <w:trHeight w:val="347"/>
        </w:trPr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center"/>
            <w:hideMark/>
          </w:tcPr>
          <w:p w14:paraId="285FB4A8" w14:textId="238C0D82" w:rsidR="00712BB0" w:rsidRPr="00B7771D" w:rsidRDefault="00712BB0" w:rsidP="00712BB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 –</w:t>
            </w:r>
            <w:r w:rsidRPr="001664DE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Τακτικές πτήσεις (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/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  <w:r w:rsidRPr="00B7771D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  <w:hideMark/>
          </w:tcPr>
          <w:p w14:paraId="7AA25C08" w14:textId="230FEE6D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81,2%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1B1984A" w14:textId="22C1CFB4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85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52C329D" w14:textId="2E1DEDD0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0,3pp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B9E81CF" w14:textId="2005FB5F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155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2AE6B4B2" w14:textId="4967EB35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81,1%</w:t>
            </w:r>
          </w:p>
        </w:tc>
        <w:tc>
          <w:tcPr>
            <w:tcW w:w="893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6FAEE9FA" w14:textId="3A29B19F" w:rsidR="00712BB0" w:rsidRPr="00B563F5" w:rsidRDefault="00712BB0" w:rsidP="00712BB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12BB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-0,3pp</w:t>
            </w:r>
          </w:p>
        </w:tc>
      </w:tr>
    </w:tbl>
    <w:p w14:paraId="1E079DCD" w14:textId="77777777" w:rsidR="00B7771D" w:rsidRDefault="00B7771D" w:rsidP="00B7771D">
      <w:pPr>
        <w:spacing w:line="276" w:lineRule="auto"/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7CD50653" w14:textId="77777777" w:rsidR="00712BB0" w:rsidRDefault="00712BB0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  <w:bookmarkStart w:id="2" w:name="_Hlk134822751"/>
      <w:bookmarkEnd w:id="0"/>
    </w:p>
    <w:p w14:paraId="69A340E8" w14:textId="77777777" w:rsidR="00712BB0" w:rsidRDefault="00712BB0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05FDB14C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14E40D1C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31F9F36D" w14:textId="77777777" w:rsidR="00EA13EC" w:rsidRDefault="00EA13EC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5A6FCE58" w14:textId="77777777" w:rsidR="00EA13EC" w:rsidRDefault="00EA13EC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4BBCEE6B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2813A617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012EF132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105646E0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6253C33C" w14:textId="77777777" w:rsidR="00255656" w:rsidRDefault="002556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48BCE934" w14:textId="77777777" w:rsidR="00712BB0" w:rsidRDefault="00712BB0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6D751B4F" w14:textId="77777777" w:rsidR="00712BB0" w:rsidRDefault="00712BB0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</w:p>
    <w:p w14:paraId="28284609" w14:textId="1067E551" w:rsidR="00B7771D" w:rsidRPr="00B563F5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  <w:r w:rsidRPr="00B563F5">
        <w:rPr>
          <w:rFonts w:cstheme="minorHAnsi"/>
          <w:b/>
          <w:bCs/>
          <w:color w:val="002677"/>
          <w:sz w:val="22"/>
          <w:szCs w:val="22"/>
          <w:lang w:val="en-US"/>
        </w:rPr>
        <w:lastRenderedPageBreak/>
        <w:t>Ανάλυση Καθαρού Δανεισμού</w:t>
      </w:r>
    </w:p>
    <w:tbl>
      <w:tblPr>
        <w:tblW w:w="9923" w:type="dxa"/>
        <w:tblBorders>
          <w:top w:val="single" w:sz="4" w:space="0" w:color="002677"/>
          <w:bottom w:val="single" w:sz="4" w:space="0" w:color="002677"/>
          <w:insideH w:val="single" w:sz="4" w:space="0" w:color="002677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126"/>
      </w:tblGrid>
      <w:tr w:rsidR="00B7771D" w:rsidRPr="00B563F5" w14:paraId="7D2497C3" w14:textId="77777777" w:rsidTr="00A53D77">
        <w:trPr>
          <w:trHeight w:val="176"/>
        </w:trPr>
        <w:tc>
          <w:tcPr>
            <w:tcW w:w="52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bottom"/>
          </w:tcPr>
          <w:p w14:paraId="2C138BE8" w14:textId="77777777" w:rsidR="00B7771D" w:rsidRPr="00B563F5" w:rsidRDefault="00B7771D" w:rsidP="00A53D77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bottom"/>
            <w:hideMark/>
          </w:tcPr>
          <w:p w14:paraId="04EB0572" w14:textId="11536274" w:rsidR="00B7771D" w:rsidRPr="00012ADF" w:rsidRDefault="00B7771D" w:rsidP="00A53D77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31.12.202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002677"/>
            <w:vAlign w:val="bottom"/>
            <w:hideMark/>
          </w:tcPr>
          <w:p w14:paraId="473CA8CD" w14:textId="35CDFD61" w:rsidR="00B7771D" w:rsidRPr="00012ADF" w:rsidRDefault="00B7771D" w:rsidP="00A53D77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0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.0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6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.202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B7771D" w:rsidRPr="00B563F5" w14:paraId="15F2BF57" w14:textId="77777777" w:rsidTr="00A53D77">
        <w:trPr>
          <w:trHeight w:val="128"/>
        </w:trPr>
        <w:tc>
          <w:tcPr>
            <w:tcW w:w="52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  <w:hideMark/>
          </w:tcPr>
          <w:p w14:paraId="7FDF0521" w14:textId="77777777" w:rsidR="00B7771D" w:rsidRPr="00B563F5" w:rsidRDefault="00B7771D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29D4B568" w14:textId="77777777" w:rsidR="00B7771D" w:rsidRPr="00B563F5" w:rsidRDefault="00B7771D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60401858" w14:textId="77777777" w:rsidR="00B7771D" w:rsidRPr="00B563F5" w:rsidRDefault="00B7771D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A53D77" w:rsidRPr="00B563F5" w14:paraId="66230E84" w14:textId="77777777" w:rsidTr="00A53D77">
        <w:trPr>
          <w:trHeight w:val="124"/>
        </w:trPr>
        <w:tc>
          <w:tcPr>
            <w:tcW w:w="5245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1CA31824" w14:textId="77777777" w:rsidR="00A53D77" w:rsidRPr="00B563F5" w:rsidRDefault="00A53D77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Σύνολο ταμειακών διαθεσίμων, ισοδύναμων και λοιπών χρηματοοικονομικών επενδύσεων </w:t>
            </w: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37E1E503" w14:textId="5DCE0D54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968E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769,1</w:t>
            </w: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701B65F3" w14:textId="5D861CFC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</w:t>
            </w:r>
            <w:r w:rsidR="004F74C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</w:t>
            </w: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,</w:t>
            </w:r>
            <w:r w:rsidR="004F74C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</w:t>
            </w:r>
          </w:p>
        </w:tc>
      </w:tr>
      <w:tr w:rsidR="00A53D77" w:rsidRPr="00B563F5" w14:paraId="63D350AF" w14:textId="77777777" w:rsidTr="00A53D77">
        <w:trPr>
          <w:trHeight w:val="12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0C5E0" w14:textId="77777777" w:rsidR="00A53D77" w:rsidRPr="00B563F5" w:rsidRDefault="00A53D77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Δανειακές υποχρεώσεις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4201B" w14:textId="359B1FBD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A3C1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383,6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4EB07DB4" w14:textId="68EF6140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417,7</w:t>
            </w:r>
          </w:p>
        </w:tc>
      </w:tr>
      <w:tr w:rsidR="00A53D77" w:rsidRPr="00B563F5" w14:paraId="5B69E39A" w14:textId="77777777" w:rsidTr="00A53D77">
        <w:trPr>
          <w:trHeight w:val="124"/>
        </w:trPr>
        <w:tc>
          <w:tcPr>
            <w:tcW w:w="5245" w:type="dxa"/>
            <w:tcBorders>
              <w:top w:val="nil"/>
              <w:left w:val="nil"/>
              <w:bottom w:val="single" w:sz="4" w:space="0" w:color="002677"/>
              <w:right w:val="nil"/>
            </w:tcBorders>
            <w:vAlign w:val="bottom"/>
          </w:tcPr>
          <w:p w14:paraId="3CCB31CD" w14:textId="77777777" w:rsidR="00A53D77" w:rsidRPr="00B563F5" w:rsidRDefault="00A53D77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Υποχρεώσεις από μισθώσεις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2677"/>
              <w:right w:val="nil"/>
            </w:tcBorders>
            <w:vAlign w:val="bottom"/>
          </w:tcPr>
          <w:p w14:paraId="5A425259" w14:textId="4FD31B22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A3C1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1.047,6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3D5E081C" w14:textId="47BDD54C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949,9</w:t>
            </w:r>
          </w:p>
        </w:tc>
      </w:tr>
      <w:tr w:rsidR="00DB75A5" w:rsidRPr="00B563F5" w14:paraId="01497C57" w14:textId="77777777" w:rsidTr="00A53D77">
        <w:trPr>
          <w:trHeight w:val="124"/>
        </w:trPr>
        <w:tc>
          <w:tcPr>
            <w:tcW w:w="52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84D6516" w14:textId="77777777" w:rsidR="00DB75A5" w:rsidRPr="00B563F5" w:rsidRDefault="00DB75A5" w:rsidP="00A53D77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Καθαρός Δανεισμός</w:t>
            </w: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C2BC42D" w14:textId="483F9A72" w:rsidR="00DB75A5" w:rsidRPr="00A53D77" w:rsidRDefault="00DB75A5" w:rsidP="00A53D77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53D77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662,2</w:t>
            </w: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611BB40" w14:textId="4F01AF89" w:rsidR="00DB75A5" w:rsidRPr="00A53D77" w:rsidRDefault="004F74C6" w:rsidP="00A53D77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525</w:t>
            </w:r>
            <w:r w:rsidR="00A53D77" w:rsidRPr="00A53D77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,</w:t>
            </w:r>
            <w: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7</w:t>
            </w:r>
          </w:p>
        </w:tc>
      </w:tr>
      <w:tr w:rsidR="00DB75A5" w:rsidRPr="00B563F5" w14:paraId="2DDCD8AC" w14:textId="77777777" w:rsidTr="00A53D77">
        <w:trPr>
          <w:trHeight w:val="124"/>
        </w:trPr>
        <w:tc>
          <w:tcPr>
            <w:tcW w:w="5245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7B33D345" w14:textId="77777777" w:rsidR="00DB75A5" w:rsidRPr="00B563F5" w:rsidRDefault="00DB75A5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E3CEAB8" w14:textId="77777777" w:rsidR="00DB75A5" w:rsidRPr="00B563F5" w:rsidRDefault="00DB75A5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2053C08" w14:textId="77777777" w:rsidR="00DB75A5" w:rsidRPr="00F92A54" w:rsidRDefault="00DB75A5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DB75A5" w:rsidRPr="00B563F5" w14:paraId="45954443" w14:textId="77777777" w:rsidTr="00A53D77">
        <w:trPr>
          <w:trHeight w:val="124"/>
        </w:trPr>
        <w:tc>
          <w:tcPr>
            <w:tcW w:w="5245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0C710931" w14:textId="77777777" w:rsidR="00DB75A5" w:rsidRPr="00B563F5" w:rsidRDefault="00DB75A5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Καθαρός Δανεισμός/ (Καθαρά Ταμειακά Διαθέσιμα) εξαιρουμένων των μισθώσεων</w:t>
            </w: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677A53F2" w14:textId="7B124C48" w:rsidR="00DB75A5" w:rsidRPr="00A53D77" w:rsidRDefault="00DB75A5" w:rsidP="00A53D77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53D77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(385,5)</w:t>
            </w: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5AF35F20" w14:textId="2710EBB0" w:rsidR="00DB75A5" w:rsidRPr="00A53D77" w:rsidRDefault="00A53D77" w:rsidP="00A53D77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53D77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(4</w:t>
            </w:r>
            <w:r w:rsidR="004F74C6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24</w:t>
            </w:r>
            <w:r w:rsidRPr="00A53D77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,</w:t>
            </w:r>
            <w:r w:rsidR="004F74C6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</w:t>
            </w:r>
            <w:r w:rsidRPr="00A53D77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)</w:t>
            </w:r>
          </w:p>
        </w:tc>
      </w:tr>
      <w:tr w:rsidR="00DB75A5" w:rsidRPr="00B563F5" w14:paraId="7FDA56BE" w14:textId="77777777" w:rsidTr="00A53D77">
        <w:trPr>
          <w:trHeight w:val="124"/>
        </w:trPr>
        <w:tc>
          <w:tcPr>
            <w:tcW w:w="5245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0A689EED" w14:textId="77777777" w:rsidR="00DB75A5" w:rsidRPr="00B563F5" w:rsidRDefault="00DB75A5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6AA5A2BE" w14:textId="77777777" w:rsidR="00DB75A5" w:rsidRPr="00B563F5" w:rsidRDefault="00DB75A5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6F613926" w14:textId="77777777" w:rsidR="00DB75A5" w:rsidRPr="00A53D77" w:rsidRDefault="00DB75A5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A53D77" w:rsidRPr="00B563F5" w14:paraId="48DF906D" w14:textId="77777777" w:rsidTr="00A53D77">
        <w:trPr>
          <w:trHeight w:val="124"/>
        </w:trPr>
        <w:tc>
          <w:tcPr>
            <w:tcW w:w="5245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763EC59C" w14:textId="77777777" w:rsidR="00A53D77" w:rsidRPr="00B563F5" w:rsidRDefault="00A53D77" w:rsidP="00A53D77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n-US"/>
              </w:rPr>
              <w:t>EBITDA</w:t>
            </w:r>
            <w:r w:rsidRPr="00B563F5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- 12μηνο trailing </w:t>
            </w:r>
          </w:p>
        </w:tc>
        <w:tc>
          <w:tcPr>
            <w:tcW w:w="2552" w:type="dxa"/>
            <w:tcBorders>
              <w:top w:val="single" w:sz="4" w:space="0" w:color="002677"/>
              <w:left w:val="nil"/>
              <w:bottom w:val="nil"/>
              <w:right w:val="nil"/>
            </w:tcBorders>
            <w:vAlign w:val="bottom"/>
          </w:tcPr>
          <w:p w14:paraId="612FE4FC" w14:textId="522369F2" w:rsidR="00A53D77" w:rsidRPr="00B563F5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405</w:t>
            </w:r>
            <w:r w:rsidRPr="00F92A54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,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2677"/>
              <w:left w:val="nil"/>
              <w:bottom w:val="nil"/>
              <w:right w:val="nil"/>
            </w:tcBorders>
            <w:shd w:val="clear" w:color="auto" w:fill="EFF2F9"/>
            <w:vAlign w:val="bottom"/>
          </w:tcPr>
          <w:p w14:paraId="0570865F" w14:textId="0DD01F65" w:rsidR="00A53D77" w:rsidRPr="00F92A54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414,0</w:t>
            </w:r>
          </w:p>
        </w:tc>
      </w:tr>
      <w:tr w:rsidR="00A53D77" w:rsidRPr="00B563F5" w14:paraId="5DDCCF89" w14:textId="77777777" w:rsidTr="00A53D77">
        <w:trPr>
          <w:trHeight w:val="124"/>
        </w:trPr>
        <w:tc>
          <w:tcPr>
            <w:tcW w:w="5245" w:type="dxa"/>
            <w:tcBorders>
              <w:top w:val="nil"/>
              <w:left w:val="nil"/>
              <w:bottom w:val="single" w:sz="4" w:space="0" w:color="002677"/>
              <w:right w:val="nil"/>
            </w:tcBorders>
            <w:vAlign w:val="bottom"/>
          </w:tcPr>
          <w:p w14:paraId="43B47BFD" w14:textId="77777777" w:rsidR="00A53D77" w:rsidRPr="00B563F5" w:rsidRDefault="00A53D77" w:rsidP="00A53D77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Δείκτης Καθαρού Δανεισμού / Ε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n-US"/>
              </w:rPr>
              <w:t>BITDA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2677"/>
              <w:right w:val="nil"/>
            </w:tcBorders>
            <w:vAlign w:val="bottom"/>
          </w:tcPr>
          <w:p w14:paraId="7E05834E" w14:textId="3E90A412" w:rsidR="00A53D77" w:rsidRPr="00B563F5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A93EF2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1,6x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348B44D8" w14:textId="4777552F" w:rsidR="00A53D77" w:rsidRPr="00A53D77" w:rsidRDefault="00A53D77" w:rsidP="00A53D77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</w:t>
            </w:r>
            <w:r w:rsidR="004F74C6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</w:t>
            </w:r>
            <w:r w:rsidRPr="00A53D77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x</w:t>
            </w:r>
          </w:p>
        </w:tc>
      </w:tr>
    </w:tbl>
    <w:p w14:paraId="7B129607" w14:textId="77777777" w:rsidR="00B7771D" w:rsidRPr="00B563F5" w:rsidRDefault="00B7771D" w:rsidP="00B7771D">
      <w:pPr>
        <w:spacing w:before="40"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FAEA991" w14:textId="0AA4F119" w:rsidR="00DB75A5" w:rsidRPr="00DB75A5" w:rsidRDefault="00DB75A5" w:rsidP="00DB75A5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  <w:r w:rsidRPr="00DB75A5">
        <w:rPr>
          <w:rFonts w:cstheme="minorHAnsi"/>
          <w:color w:val="002677"/>
          <w:sz w:val="14"/>
          <w:szCs w:val="14"/>
          <w:lang w:val="el-GR"/>
        </w:rPr>
        <w:t>Σημείωση:</w:t>
      </w:r>
    </w:p>
    <w:p w14:paraId="7AAC0E6B" w14:textId="3666DDDA" w:rsidR="00DB75A5" w:rsidRPr="00DB75A5" w:rsidRDefault="00DB75A5" w:rsidP="00DB75A5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  <w:r w:rsidRPr="00DB75A5">
        <w:rPr>
          <w:rFonts w:cstheme="minorHAnsi"/>
          <w:color w:val="002677"/>
          <w:sz w:val="14"/>
          <w:szCs w:val="14"/>
          <w:lang w:val="el-GR"/>
        </w:rPr>
        <w:t xml:space="preserve"> </w:t>
      </w:r>
      <w:r w:rsidRPr="00DB75A5">
        <w:rPr>
          <w:rFonts w:cstheme="minorHAnsi"/>
          <w:color w:val="002677"/>
          <w:sz w:val="14"/>
          <w:szCs w:val="14"/>
          <w:vertAlign w:val="superscript"/>
          <w:lang w:val="el-GR"/>
        </w:rPr>
        <w:t>1</w:t>
      </w:r>
      <w:r>
        <w:rPr>
          <w:rFonts w:cstheme="minorHAnsi"/>
          <w:color w:val="002677"/>
          <w:sz w:val="14"/>
          <w:szCs w:val="14"/>
          <w:vertAlign w:val="superscript"/>
          <w:lang w:val="el-GR"/>
        </w:rPr>
        <w:t xml:space="preserve"> </w:t>
      </w:r>
      <w:r w:rsidRPr="00DB75A5">
        <w:rPr>
          <w:rFonts w:cstheme="minorHAnsi"/>
          <w:color w:val="002677"/>
          <w:sz w:val="14"/>
          <w:szCs w:val="14"/>
          <w:lang w:val="el-GR"/>
        </w:rPr>
        <w:t xml:space="preserve">Κέρδη / (Ζημίες) προ φόρων, χρηματοδοτικών και επενδυτικών αποτελεσμάτων και αποσβέσεων, των 12 προηγούμενων μηνών (Ιαν.-Δεκ. 2024 και </w:t>
      </w:r>
      <w:r>
        <w:rPr>
          <w:rFonts w:cstheme="minorHAnsi"/>
          <w:color w:val="002677"/>
          <w:sz w:val="14"/>
          <w:szCs w:val="14"/>
          <w:lang w:val="el-GR"/>
        </w:rPr>
        <w:t>Ιουλ</w:t>
      </w:r>
      <w:r w:rsidRPr="00DB75A5">
        <w:rPr>
          <w:rFonts w:cstheme="minorHAnsi"/>
          <w:color w:val="002677"/>
          <w:sz w:val="14"/>
          <w:szCs w:val="14"/>
          <w:lang w:val="el-GR"/>
        </w:rPr>
        <w:t xml:space="preserve">. 2024 - </w:t>
      </w:r>
      <w:r>
        <w:rPr>
          <w:rFonts w:cstheme="minorHAnsi"/>
          <w:color w:val="002677"/>
          <w:sz w:val="14"/>
          <w:szCs w:val="14"/>
          <w:lang w:val="el-GR"/>
        </w:rPr>
        <w:t>Ιουν</w:t>
      </w:r>
      <w:r w:rsidRPr="00DB75A5">
        <w:rPr>
          <w:rFonts w:cstheme="minorHAnsi"/>
          <w:color w:val="002677"/>
          <w:sz w:val="14"/>
          <w:szCs w:val="14"/>
          <w:lang w:val="el-GR"/>
        </w:rPr>
        <w:t>. 2025 αντίστοιχα).</w:t>
      </w:r>
    </w:p>
    <w:p w14:paraId="4AC0435B" w14:textId="35B20A8B" w:rsidR="00B7771D" w:rsidRPr="007D164D" w:rsidRDefault="00B7771D" w:rsidP="007D164D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</w:p>
    <w:bookmarkEnd w:id="1"/>
    <w:p w14:paraId="52E2B1A6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5DC62138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4F53B1C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EE96BE1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7BDC4DE2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DA4CB51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618B1C6" w14:textId="77777777" w:rsidR="00B7771D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5739F83" w14:textId="77777777" w:rsidR="007D164D" w:rsidRDefault="007D164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2A34D7B7" w14:textId="77777777" w:rsidR="007D164D" w:rsidRPr="00E345E0" w:rsidRDefault="007D164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3C68E07B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E78A993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160E2C8B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38CF968E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0ECF990F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4D2F9543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3F48DF7F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69B2CF52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0BC861DF" w14:textId="77777777" w:rsidR="00B7771D" w:rsidRPr="00E345E0" w:rsidRDefault="00B7771D" w:rsidP="00B7771D">
      <w:pPr>
        <w:spacing w:line="276" w:lineRule="auto"/>
        <w:jc w:val="both"/>
        <w:rPr>
          <w:rFonts w:cstheme="minorHAnsi"/>
          <w:color w:val="002677"/>
          <w:sz w:val="22"/>
          <w:szCs w:val="22"/>
          <w:lang w:val="el-GR"/>
        </w:rPr>
      </w:pPr>
    </w:p>
    <w:bookmarkEnd w:id="2"/>
    <w:p w14:paraId="6E046780" w14:textId="77777777" w:rsidR="008D0A5A" w:rsidRDefault="008D0A5A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B46A757" w14:textId="77777777" w:rsidR="00A14FCF" w:rsidRDefault="00A14FCF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FCE0837" w14:textId="77777777" w:rsidR="00647256" w:rsidRDefault="006472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1B96AE9" w14:textId="77777777" w:rsidR="00647256" w:rsidRDefault="00647256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15F5CC3" w14:textId="21374E09" w:rsidR="00B7771D" w:rsidRPr="008D0A5A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8E6241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 xml:space="preserve">Η </w:t>
      </w:r>
      <w:r w:rsidRPr="00B563F5">
        <w:rPr>
          <w:rFonts w:cstheme="minorHAnsi"/>
          <w:b/>
          <w:bCs/>
          <w:color w:val="002677"/>
          <w:sz w:val="22"/>
          <w:szCs w:val="22"/>
          <w:lang w:val="en-US"/>
        </w:rPr>
        <w:t>AEGEAN</w:t>
      </w:r>
      <w:r w:rsidRPr="008E6241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 με μία ματιά</w:t>
      </w:r>
    </w:p>
    <w:tbl>
      <w:tblPr>
        <w:tblW w:w="103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709"/>
        <w:gridCol w:w="1418"/>
        <w:gridCol w:w="1275"/>
        <w:gridCol w:w="752"/>
      </w:tblGrid>
      <w:tr w:rsidR="00012ADF" w:rsidRPr="00B563F5" w14:paraId="4C1D76C2" w14:textId="77777777" w:rsidTr="00A02125">
        <w:trPr>
          <w:trHeight w:val="231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27679E2" w14:textId="77777777" w:rsidR="00012ADF" w:rsidRPr="00B563F5" w:rsidRDefault="00012ADF" w:rsidP="00012ADF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bookmarkStart w:id="3" w:name="_Hlk129612592"/>
            <w:r w:rsidRPr="00B563F5">
              <w:rPr>
                <w:rFonts w:cstheme="minorHAnsi"/>
                <w:color w:val="FFFFFF" w:themeColor="background1"/>
                <w:sz w:val="22"/>
                <w:szCs w:val="22"/>
              </w:rPr>
              <w:t>(</w:t>
            </w:r>
            <w:r w:rsidRPr="00B563F5">
              <w:rPr>
                <w:rFonts w:cstheme="minorHAnsi"/>
                <w:color w:val="FFFFFF" w:themeColor="background1"/>
                <w:sz w:val="22"/>
                <w:szCs w:val="22"/>
                <w:lang w:val="el-GR"/>
              </w:rPr>
              <w:t>σε</w:t>
            </w:r>
            <w:r w:rsidRPr="00B563F5">
              <w:rPr>
                <w:rFonts w:cstheme="minorHAnsi"/>
                <w:color w:val="FFFFFF" w:themeColor="background1"/>
                <w:sz w:val="22"/>
                <w:szCs w:val="22"/>
              </w:rPr>
              <w:t xml:space="preserve"> € </w:t>
            </w:r>
            <w:r w:rsidRPr="00B563F5">
              <w:rPr>
                <w:rFonts w:cstheme="minorHAnsi"/>
                <w:color w:val="FFFFFF" w:themeColor="background1"/>
                <w:sz w:val="22"/>
                <w:szCs w:val="22"/>
                <w:lang w:val="el-GR"/>
              </w:rPr>
              <w:t>εκατ</w:t>
            </w:r>
            <w:r w:rsidRPr="00B563F5">
              <w:rPr>
                <w:rFonts w:cstheme="minorHAnsi"/>
                <w:color w:val="FFFFFF" w:themeColor="background1"/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432B0985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789C007C" w14:textId="65191EB0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13CB9819" w14:textId="1A6B33B3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0496C516" w14:textId="461800B3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1CB5754C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351B7772" w14:textId="7861A9B1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08CA6888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29BEE712" w14:textId="5818E38D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002677"/>
            <w:vAlign w:val="center"/>
          </w:tcPr>
          <w:p w14:paraId="1BB36459" w14:textId="6985A496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</w:tr>
      <w:tr w:rsidR="00736E78" w:rsidRPr="00B563F5" w14:paraId="72775648" w14:textId="77777777" w:rsidTr="00976C96">
        <w:trPr>
          <w:trHeight w:val="299"/>
        </w:trPr>
        <w:tc>
          <w:tcPr>
            <w:tcW w:w="3544" w:type="dxa"/>
            <w:tcBorders>
              <w:top w:val="nil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161D4CF" w14:textId="77777777" w:rsidR="00736E78" w:rsidRPr="00B563F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Έσοδα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412DC4FE" w14:textId="728845A1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480,3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13EB1C2B" w14:textId="7CC64B75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480,9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3DA45392" w14:textId="4D4BD5D9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14:paraId="6426D97C" w14:textId="4FAB8C48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749,1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417254E5" w14:textId="20B14127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787,0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bottom"/>
          </w:tcPr>
          <w:p w14:paraId="5A2FAFC7" w14:textId="387F2CB0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</w:tr>
      <w:tr w:rsidR="00736E78" w:rsidRPr="00B563F5" w14:paraId="7C56487D" w14:textId="77777777" w:rsidTr="00976C96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736050F" w14:textId="77777777" w:rsidR="00736E78" w:rsidRPr="00B563F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EBITDA</w:t>
            </w:r>
            <w:r w:rsidRPr="001E1D53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E6D08DD" w14:textId="5B2AE803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114,4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7F9B5CA" w14:textId="42D7F08A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112,4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1BFE65E" w14:textId="69B80B05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59F571C6" w14:textId="0FE6F798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147,6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81A99AA" w14:textId="081B59D6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156,2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6F85D556" w14:textId="13D332E2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6%</w:t>
            </w:r>
          </w:p>
        </w:tc>
      </w:tr>
      <w:tr w:rsidR="00736E78" w:rsidRPr="000801F0" w14:paraId="6D6AE647" w14:textId="77777777" w:rsidTr="00976C96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527D42E" w14:textId="77777777" w:rsidR="00736E78" w:rsidRPr="000801F0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Κέρδη/(Ζημίες) προ φόρων και τόκων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403AA6D" w14:textId="2F612DAA" w:rsidR="00736E78" w:rsidRPr="00CE762E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70,6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BADD68A" w14:textId="292166B6" w:rsidR="00736E78" w:rsidRPr="00CE762E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61,5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70C35CA" w14:textId="759EDE75" w:rsidR="00736E78" w:rsidRPr="00CE762E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-13%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1A784F11" w14:textId="400F55B3" w:rsidR="00736E78" w:rsidRPr="00CE762E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63,4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47DF9FF" w14:textId="648893B7" w:rsidR="00736E78" w:rsidRPr="00CE762E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58,9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3FEC75AB" w14:textId="678FCA0A" w:rsidR="00736E78" w:rsidRPr="00CE762E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-7%</w:t>
            </w:r>
          </w:p>
        </w:tc>
      </w:tr>
      <w:tr w:rsidR="00736E78" w:rsidRPr="00B563F5" w14:paraId="3D99E93E" w14:textId="77777777" w:rsidTr="00976C96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91124BC" w14:textId="77777777" w:rsidR="00736E78" w:rsidRPr="00B563F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 xml:space="preserve">Κέρδη/(Ζημίες) προ φόρων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61BB0C59" w14:textId="42E870B6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57,9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FD59A2E" w14:textId="1DD15B3C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73,5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088CD79" w14:textId="09F341EA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27%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3B3F70FA" w14:textId="78BAA1A5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31,6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BDDEE61" w14:textId="45550657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66,0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5C0EC49F" w14:textId="7C63DD31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109%</w:t>
            </w:r>
          </w:p>
        </w:tc>
      </w:tr>
      <w:tr w:rsidR="00736E78" w:rsidRPr="00B563F5" w14:paraId="4BB925A7" w14:textId="77777777" w:rsidTr="00976C96">
        <w:trPr>
          <w:trHeight w:val="299"/>
        </w:trPr>
        <w:tc>
          <w:tcPr>
            <w:tcW w:w="3544" w:type="dxa"/>
            <w:tcBorders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495D56D" w14:textId="77777777" w:rsidR="00736E78" w:rsidRPr="000801F0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Κέρδη/(Ζημίες) μετά από φόρους </w:t>
            </w:r>
          </w:p>
        </w:tc>
        <w:tc>
          <w:tcPr>
            <w:tcW w:w="1276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132991A3" w14:textId="3DED16DE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43,9</w:t>
            </w:r>
          </w:p>
        </w:tc>
        <w:tc>
          <w:tcPr>
            <w:tcW w:w="1417" w:type="dxa"/>
            <w:tcBorders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3CC4E84A" w14:textId="6445E9C3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54,5</w:t>
            </w:r>
          </w:p>
        </w:tc>
        <w:tc>
          <w:tcPr>
            <w:tcW w:w="709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6910430F" w14:textId="6BE107E2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24%</w:t>
            </w:r>
          </w:p>
        </w:tc>
        <w:tc>
          <w:tcPr>
            <w:tcW w:w="1418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2FE99109" w14:textId="7BE769F1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22,9</w:t>
            </w:r>
          </w:p>
        </w:tc>
        <w:tc>
          <w:tcPr>
            <w:tcW w:w="1275" w:type="dxa"/>
            <w:tcBorders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2E6DC00A" w14:textId="3FF2C783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47,9</w:t>
            </w:r>
          </w:p>
        </w:tc>
        <w:tc>
          <w:tcPr>
            <w:tcW w:w="752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436D1B32" w14:textId="320BCEC6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109%</w:t>
            </w:r>
          </w:p>
        </w:tc>
      </w:tr>
      <w:tr w:rsidR="00736E78" w:rsidRPr="00B563F5" w14:paraId="2FC8B5C9" w14:textId="77777777" w:rsidTr="00976C96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8E6655E" w14:textId="45672BC4" w:rsidR="00736E78" w:rsidRPr="00D63B32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Συνολικοί επιβάτες (σε χιλ.)</w:t>
            </w:r>
            <w:r w:rsidRPr="00D63B32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5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59CB77A0" w14:textId="3253E498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4.400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right w:val="nil"/>
            </w:tcBorders>
            <w:shd w:val="clear" w:color="auto" w:fill="EEF1F8"/>
            <w:vAlign w:val="bottom"/>
          </w:tcPr>
          <w:p w14:paraId="6DB922F8" w14:textId="4C4A1DF6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4.479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727F68DF" w14:textId="203B0828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1CE718B1" w14:textId="16D7BE9C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7.256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right w:val="nil"/>
            </w:tcBorders>
            <w:shd w:val="clear" w:color="auto" w:fill="EEF1F8"/>
            <w:vAlign w:val="bottom"/>
          </w:tcPr>
          <w:p w14:paraId="68AB0482" w14:textId="4E706BB4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7.572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03D8D0A3" w14:textId="4DD17FB5" w:rsidR="00736E78" w:rsidRPr="00B563F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736E78" w:rsidRPr="00B563F5" w14:paraId="516289C8" w14:textId="77777777" w:rsidTr="009F3A4C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79AB79F" w14:textId="77777777" w:rsidR="00736E78" w:rsidRPr="000801F0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Χιλιομετρικές Θέσεις </w:t>
            </w:r>
          </w:p>
          <w:p w14:paraId="69530DB4" w14:textId="10AA1135" w:rsidR="00736E78" w:rsidRPr="0062238A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ASKs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σε εκατ.)</w:t>
            </w:r>
            <w:r w:rsidRPr="002531E4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</w:t>
            </w:r>
            <w:r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241B4C4" w14:textId="2053C73F" w:rsidR="00736E78" w:rsidRPr="00F65382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5.783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DC09F24" w14:textId="71218997" w:rsidR="00736E78" w:rsidRPr="00F65382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5.723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1A5FD0D" w14:textId="0D2C6187" w:rsidR="00736E78" w:rsidRPr="00F65382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57E98E73" w14:textId="5478B822" w:rsidR="00736E78" w:rsidRPr="00F65382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9.534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60AAA7F" w14:textId="56DA77D0" w:rsidR="00736E78" w:rsidRPr="00F65382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9.883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523B8B79" w14:textId="4B061561" w:rsidR="00736E78" w:rsidRPr="00F65382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3F7BBB" w:rsidRPr="00B563F5" w14:paraId="258D45FF" w14:textId="77777777" w:rsidTr="003558D1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1F2BF2E" w14:textId="7C27C954" w:rsidR="003F7BBB" w:rsidRPr="000801F0" w:rsidRDefault="003F7BBB" w:rsidP="003F7BBB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Μέσος αριθμός επιβατών ανά πτήση</w:t>
            </w:r>
            <w:r w:rsidRPr="00D63B32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89D156A" w14:textId="190FFD96" w:rsidR="003F7BBB" w:rsidRPr="00E74D7F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D4B44D8" w14:textId="6F094DBC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B9CFB4C" w14:textId="14C09174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40614A82" w14:textId="14127AAF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6F742408" w14:textId="2A7C1856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559739B2" w14:textId="26F7944B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</w:tr>
      <w:tr w:rsidR="003F7BBB" w:rsidRPr="00B563F5" w14:paraId="57B8B440" w14:textId="77777777" w:rsidTr="003558D1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7C3036E" w14:textId="0FC465E7" w:rsidR="003F7BBB" w:rsidRPr="000801F0" w:rsidRDefault="003F7BBB" w:rsidP="003F7BBB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 - Τακτικές πτήσεις (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/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  <w:r w:rsidRPr="00D63B32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F676ADA" w14:textId="50ED832B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81,2%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4D7B0982" w14:textId="6D9E46C0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42891AD" w14:textId="4DEE7316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0,3pp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23695E56" w14:textId="5BDB8DBE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C54BD78" w14:textId="05DA2352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81,1%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79F56F38" w14:textId="6BACD12A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-0,3pp</w:t>
            </w:r>
          </w:p>
        </w:tc>
      </w:tr>
      <w:tr w:rsidR="003F7BBB" w:rsidRPr="00B563F5" w14:paraId="52D8814A" w14:textId="77777777" w:rsidTr="003558D1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3E7CD4B" w14:textId="3EF3AD63" w:rsidR="003F7BBB" w:rsidRPr="000801F0" w:rsidRDefault="003F7BBB" w:rsidP="003F7BBB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 Τακτικές Πτήσεις (Επιβάτες/Διαθέσιμες Θέσεις)</w:t>
            </w:r>
            <w:r w:rsidRPr="00D63B32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EBBB27A" w14:textId="5AA24241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81,8%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1BAD24E" w14:textId="033B0E82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722C7F6" w14:textId="528891BE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-0,4pp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1C5E091A" w14:textId="6DA59449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81,3%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E8FF107" w14:textId="3CD4E799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81,0%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531E776D" w14:textId="129F7C4C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-0,4pp</w:t>
            </w:r>
          </w:p>
        </w:tc>
      </w:tr>
      <w:tr w:rsidR="003F7BBB" w:rsidRPr="00B563F5" w14:paraId="3991FD33" w14:textId="77777777" w:rsidTr="003558D1">
        <w:trPr>
          <w:trHeight w:val="299"/>
        </w:trPr>
        <w:tc>
          <w:tcPr>
            <w:tcW w:w="3544" w:type="dxa"/>
            <w:tcBorders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6E4D4EA" w14:textId="74EFF325" w:rsidR="003F7BBB" w:rsidRPr="00B563F5" w:rsidRDefault="003F7BBB" w:rsidP="003F7BBB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Μέση απόσταση πτήσεων (χλμ.)</w:t>
            </w:r>
            <w:r w:rsidRPr="00D63B32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 xml:space="preserve"> 5</w:t>
            </w:r>
          </w:p>
        </w:tc>
        <w:tc>
          <w:tcPr>
            <w:tcW w:w="1276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23C8F777" w14:textId="67217E9F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931</w:t>
            </w:r>
          </w:p>
        </w:tc>
        <w:tc>
          <w:tcPr>
            <w:tcW w:w="1417" w:type="dxa"/>
            <w:tcBorders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6FCA5DA1" w14:textId="1FF4FB6B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893</w:t>
            </w:r>
          </w:p>
        </w:tc>
        <w:tc>
          <w:tcPr>
            <w:tcW w:w="709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4176DBAE" w14:textId="76227893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-4%</w:t>
            </w:r>
          </w:p>
        </w:tc>
        <w:tc>
          <w:tcPr>
            <w:tcW w:w="1418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07D67529" w14:textId="623FD521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927</w:t>
            </w:r>
          </w:p>
        </w:tc>
        <w:tc>
          <w:tcPr>
            <w:tcW w:w="1275" w:type="dxa"/>
            <w:tcBorders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49595C4B" w14:textId="480A05D0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915</w:t>
            </w:r>
          </w:p>
        </w:tc>
        <w:tc>
          <w:tcPr>
            <w:tcW w:w="752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04367E25" w14:textId="31C0721A" w:rsidR="003F7BBB" w:rsidRPr="00B563F5" w:rsidRDefault="003F7BBB" w:rsidP="003F7BBB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3F7BBB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</w:tr>
      <w:tr w:rsidR="004413BD" w:rsidRPr="00B563F5" w14:paraId="3458AF0B" w14:textId="77777777" w:rsidTr="00BF36F5">
        <w:trPr>
          <w:trHeight w:val="299"/>
        </w:trPr>
        <w:tc>
          <w:tcPr>
            <w:tcW w:w="3544" w:type="dxa"/>
            <w:tcBorders>
              <w:top w:val="single" w:sz="4" w:space="0" w:color="1F3864" w:themeColor="accent1" w:themeShade="80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0AB6A5D" w14:textId="77777777" w:rsidR="004413BD" w:rsidRPr="00B563F5" w:rsidRDefault="004413BD" w:rsidP="004413BD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RASK (σε € λεπτά)</w:t>
            </w:r>
            <w:r w:rsidRPr="001E1D53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3B1C4DA6" w14:textId="4F89AF34" w:rsidR="004413BD" w:rsidRPr="00E74D7F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8,3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right w:val="nil"/>
            </w:tcBorders>
            <w:shd w:val="clear" w:color="auto" w:fill="EEF1F8"/>
            <w:vAlign w:val="bottom"/>
          </w:tcPr>
          <w:p w14:paraId="47DBA74E" w14:textId="2A98E644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8,4</w:t>
            </w:r>
          </w:p>
        </w:tc>
        <w:tc>
          <w:tcPr>
            <w:tcW w:w="709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50AE388C" w14:textId="47EE8B2C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1%</w:t>
            </w:r>
          </w:p>
        </w:tc>
        <w:tc>
          <w:tcPr>
            <w:tcW w:w="1418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46BC2B33" w14:textId="220EC7C1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7,9</w:t>
            </w:r>
          </w:p>
        </w:tc>
        <w:tc>
          <w:tcPr>
            <w:tcW w:w="1275" w:type="dxa"/>
            <w:tcBorders>
              <w:top w:val="single" w:sz="4" w:space="0" w:color="1F3864" w:themeColor="accent1" w:themeShade="80"/>
              <w:left w:val="nil"/>
              <w:right w:val="nil"/>
            </w:tcBorders>
            <w:shd w:val="clear" w:color="auto" w:fill="EEF1F8"/>
            <w:vAlign w:val="bottom"/>
          </w:tcPr>
          <w:p w14:paraId="3BD22349" w14:textId="49B44E3F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8,0</w:t>
            </w:r>
          </w:p>
        </w:tc>
        <w:tc>
          <w:tcPr>
            <w:tcW w:w="752" w:type="dxa"/>
            <w:tcBorders>
              <w:top w:val="single" w:sz="4" w:space="0" w:color="1F3864" w:themeColor="accent1" w:themeShade="80"/>
              <w:left w:val="nil"/>
              <w:right w:val="nil"/>
            </w:tcBorders>
            <w:vAlign w:val="bottom"/>
          </w:tcPr>
          <w:p w14:paraId="07A0869B" w14:textId="707E8491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1%</w:t>
            </w:r>
          </w:p>
        </w:tc>
      </w:tr>
      <w:tr w:rsidR="004413BD" w:rsidRPr="00B563F5" w14:paraId="125A1597" w14:textId="77777777" w:rsidTr="00BF36F5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93FFE74" w14:textId="77777777" w:rsidR="004413BD" w:rsidRPr="00B563F5" w:rsidRDefault="004413BD" w:rsidP="004413BD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Yield (σε € λεπτά)</w:t>
            </w:r>
            <w:r w:rsidRPr="001E1D53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7119097" w14:textId="5218632E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7E4D2A3" w14:textId="31B35FEC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07192A0" w14:textId="77A9CC7E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0012F50C" w14:textId="36144664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9,7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724F7691" w14:textId="3D9596E8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9,8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6D849521" w14:textId="3F17190C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</w:tr>
      <w:tr w:rsidR="004413BD" w:rsidRPr="00B563F5" w14:paraId="6A9794B1" w14:textId="77777777" w:rsidTr="0029334A">
        <w:trPr>
          <w:trHeight w:val="299"/>
        </w:trPr>
        <w:tc>
          <w:tcPr>
            <w:tcW w:w="3544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4FB0C69" w14:textId="77777777" w:rsidR="004413BD" w:rsidRPr="00B563F5" w:rsidRDefault="004413BD" w:rsidP="004413BD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CASK (EBT level, σε € λεπτά)</w:t>
            </w:r>
            <w:r w:rsidRPr="001E1D53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eastAsia="el-GR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E17E7B8" w14:textId="0C7EA6DF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62153F1" w14:textId="7B7B5E4A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79DECB6" w14:textId="2E3E609B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14:paraId="108EE9BF" w14:textId="4C025E5E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7,7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5A9FFE1" w14:textId="02BA3C75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7,5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bottom"/>
          </w:tcPr>
          <w:p w14:paraId="75CA3D1E" w14:textId="57C5A1BF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-3%</w:t>
            </w:r>
          </w:p>
        </w:tc>
      </w:tr>
      <w:tr w:rsidR="004413BD" w:rsidRPr="00B563F5" w14:paraId="18854A72" w14:textId="77777777" w:rsidTr="0029334A">
        <w:trPr>
          <w:trHeight w:val="299"/>
        </w:trPr>
        <w:tc>
          <w:tcPr>
            <w:tcW w:w="3544" w:type="dxa"/>
            <w:tcBorders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430409D" w14:textId="77777777" w:rsidR="004413BD" w:rsidRPr="000801F0" w:rsidRDefault="004413BD" w:rsidP="004413BD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CASK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(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EBT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level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, σε € λεπτά)</w:t>
            </w:r>
            <w:r w:rsidRPr="001E1D53">
              <w:rPr>
                <w:rFonts w:eastAsia="Times New Roman" w:cstheme="minorHAnsi"/>
                <w:color w:val="002677"/>
                <w:sz w:val="22"/>
                <w:szCs w:val="22"/>
                <w:vertAlign w:val="superscript"/>
                <w:lang w:val="el-GR" w:eastAsia="el-GR"/>
              </w:rPr>
              <w:t>4</w:t>
            </w: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</w:t>
            </w:r>
          </w:p>
          <w:p w14:paraId="5A2B999B" w14:textId="77777777" w:rsidR="004413BD" w:rsidRPr="000801F0" w:rsidRDefault="004413BD" w:rsidP="004413BD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0801F0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 – εκτός κόστους καυσίμων</w:t>
            </w:r>
          </w:p>
        </w:tc>
        <w:tc>
          <w:tcPr>
            <w:tcW w:w="1276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55B0AF97" w14:textId="12F3D76F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5,6</w:t>
            </w:r>
          </w:p>
        </w:tc>
        <w:tc>
          <w:tcPr>
            <w:tcW w:w="1417" w:type="dxa"/>
            <w:tcBorders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764D1D5A" w14:textId="2115E956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5,6</w:t>
            </w:r>
          </w:p>
        </w:tc>
        <w:tc>
          <w:tcPr>
            <w:tcW w:w="709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076BFC50" w14:textId="3E1351F7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418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54BB2ADB" w14:textId="504AE8A0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5,9</w:t>
            </w:r>
          </w:p>
        </w:tc>
        <w:tc>
          <w:tcPr>
            <w:tcW w:w="1275" w:type="dxa"/>
            <w:tcBorders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2B67EA54" w14:textId="620A8139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5,8</w:t>
            </w:r>
          </w:p>
        </w:tc>
        <w:tc>
          <w:tcPr>
            <w:tcW w:w="752" w:type="dxa"/>
            <w:tcBorders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4C955907" w14:textId="1DA7F694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</w:tr>
      <w:bookmarkEnd w:id="3"/>
    </w:tbl>
    <w:p w14:paraId="4C85B647" w14:textId="77777777" w:rsidR="00B7771D" w:rsidRDefault="00B7771D" w:rsidP="00B7771D">
      <w:pPr>
        <w:spacing w:line="276" w:lineRule="auto"/>
        <w:jc w:val="both"/>
        <w:rPr>
          <w:rFonts w:cstheme="minorHAnsi"/>
          <w:color w:val="002677"/>
          <w:sz w:val="18"/>
          <w:szCs w:val="18"/>
          <w:lang w:val="en-US"/>
        </w:rPr>
      </w:pPr>
    </w:p>
    <w:p w14:paraId="40946CDB" w14:textId="77777777" w:rsidR="005C6EBC" w:rsidRPr="005C6EBC" w:rsidRDefault="005C6EBC" w:rsidP="005C6EBC">
      <w:pPr>
        <w:jc w:val="both"/>
        <w:rPr>
          <w:rFonts w:cstheme="minorHAnsi"/>
          <w:color w:val="002677"/>
          <w:sz w:val="12"/>
          <w:szCs w:val="12"/>
          <w:lang w:val="el-GR"/>
        </w:rPr>
      </w:pPr>
      <w:r w:rsidRPr="005C6EBC">
        <w:rPr>
          <w:rFonts w:cstheme="minorHAnsi"/>
          <w:color w:val="002677"/>
          <w:sz w:val="12"/>
          <w:szCs w:val="12"/>
          <w:lang w:val="el-GR"/>
        </w:rPr>
        <w:t>Σημειώσεις:</w:t>
      </w:r>
    </w:p>
    <w:p w14:paraId="1920F44A" w14:textId="77777777" w:rsidR="005C6EBC" w:rsidRPr="005C6EBC" w:rsidRDefault="005C6EBC" w:rsidP="005C6EBC">
      <w:pPr>
        <w:jc w:val="both"/>
        <w:rPr>
          <w:rFonts w:cstheme="minorHAnsi"/>
          <w:color w:val="002677"/>
          <w:sz w:val="12"/>
          <w:szCs w:val="12"/>
          <w:lang w:val="el-GR"/>
        </w:rPr>
      </w:pPr>
      <w:r w:rsidRPr="005C6EBC">
        <w:rPr>
          <w:rFonts w:cstheme="minorHAnsi"/>
          <w:color w:val="002677"/>
          <w:sz w:val="12"/>
          <w:szCs w:val="12"/>
          <w:vertAlign w:val="superscript"/>
          <w:lang w:val="el-GR"/>
        </w:rPr>
        <w:t>1</w:t>
      </w:r>
      <w:r w:rsidRPr="005C6EBC">
        <w:rPr>
          <w:rFonts w:cstheme="minorHAnsi"/>
          <w:color w:val="002677"/>
          <w:sz w:val="12"/>
          <w:szCs w:val="12"/>
          <w:lang w:val="el-GR"/>
        </w:rPr>
        <w:t xml:space="preserve"> Κέρδη προ φόρων, χρηματοδοτικών και επενδυτικών αποτελεσμάτων και αποσβέσεων.</w:t>
      </w:r>
    </w:p>
    <w:p w14:paraId="20486F7C" w14:textId="77777777" w:rsidR="005C6EBC" w:rsidRPr="005C6EBC" w:rsidRDefault="005C6EBC" w:rsidP="005C6EBC">
      <w:pPr>
        <w:jc w:val="both"/>
        <w:rPr>
          <w:rFonts w:cstheme="minorHAnsi"/>
          <w:color w:val="002677"/>
          <w:sz w:val="12"/>
          <w:szCs w:val="12"/>
          <w:lang w:val="el-GR"/>
        </w:rPr>
      </w:pPr>
      <w:r w:rsidRPr="005C6EBC">
        <w:rPr>
          <w:rFonts w:cstheme="minorHAnsi"/>
          <w:color w:val="002677"/>
          <w:sz w:val="12"/>
          <w:szCs w:val="12"/>
          <w:vertAlign w:val="superscript"/>
          <w:lang w:val="el-GR"/>
        </w:rPr>
        <w:t>2</w:t>
      </w:r>
      <w:r w:rsidRPr="005C6EBC">
        <w:rPr>
          <w:rFonts w:cstheme="minorHAnsi"/>
          <w:color w:val="002677"/>
          <w:sz w:val="12"/>
          <w:szCs w:val="12"/>
          <w:lang w:val="el-GR"/>
        </w:rPr>
        <w:t xml:space="preserve"> Μέσο έσοδο ανά χιλιομετρική θέση, δε λαμβάνονται υπόψιν τα Λοιπά Έσοδα.</w:t>
      </w:r>
    </w:p>
    <w:p w14:paraId="15E9AF28" w14:textId="77777777" w:rsidR="005C6EBC" w:rsidRPr="005C6EBC" w:rsidRDefault="005C6EBC" w:rsidP="005C6EBC">
      <w:pPr>
        <w:jc w:val="both"/>
        <w:rPr>
          <w:rFonts w:cstheme="minorHAnsi"/>
          <w:color w:val="002677"/>
          <w:sz w:val="12"/>
          <w:szCs w:val="12"/>
          <w:lang w:val="el-GR"/>
        </w:rPr>
      </w:pPr>
      <w:r w:rsidRPr="005C6EBC">
        <w:rPr>
          <w:rFonts w:cstheme="minorHAnsi"/>
          <w:color w:val="002677"/>
          <w:sz w:val="12"/>
          <w:szCs w:val="12"/>
          <w:vertAlign w:val="superscript"/>
          <w:lang w:val="el-GR"/>
        </w:rPr>
        <w:t>3</w:t>
      </w:r>
      <w:r w:rsidRPr="005C6EBC">
        <w:rPr>
          <w:rFonts w:cstheme="minorHAnsi"/>
          <w:color w:val="002677"/>
          <w:sz w:val="12"/>
          <w:szCs w:val="12"/>
          <w:lang w:val="el-GR"/>
        </w:rPr>
        <w:t xml:space="preserve"> Μέσο έσοδο ανά χιλιομετρικό επιβάτη, δε λαμβάνονται υπόψιν τα Λοιπά Έσοδα. </w:t>
      </w:r>
    </w:p>
    <w:p w14:paraId="40F15378" w14:textId="77777777" w:rsidR="005C6EBC" w:rsidRPr="005C6EBC" w:rsidRDefault="005C6EBC" w:rsidP="005C6EBC">
      <w:pPr>
        <w:jc w:val="both"/>
        <w:rPr>
          <w:rFonts w:cstheme="minorHAnsi"/>
          <w:color w:val="002677"/>
          <w:sz w:val="12"/>
          <w:szCs w:val="12"/>
          <w:lang w:val="el-GR"/>
        </w:rPr>
      </w:pPr>
      <w:r w:rsidRPr="005C6EBC">
        <w:rPr>
          <w:rFonts w:cstheme="minorHAnsi"/>
          <w:color w:val="002677"/>
          <w:sz w:val="12"/>
          <w:szCs w:val="12"/>
          <w:vertAlign w:val="superscript"/>
          <w:lang w:val="el-GR"/>
        </w:rPr>
        <w:t>4</w:t>
      </w:r>
      <w:r w:rsidRPr="005C6EBC">
        <w:rPr>
          <w:rFonts w:cstheme="minorHAnsi"/>
          <w:color w:val="002677"/>
          <w:sz w:val="12"/>
          <w:szCs w:val="12"/>
          <w:lang w:val="el-GR"/>
        </w:rPr>
        <w:t xml:space="preserve"> Μέσο κόστος ανά χιλιομετρική θέση.</w:t>
      </w:r>
    </w:p>
    <w:p w14:paraId="15328D9F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0117499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F6F28E7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E1CE46F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8AD3E85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A2700D8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521789D" w14:textId="77777777" w:rsidR="006B2F6E" w:rsidRPr="004F74C6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145C952" w14:textId="77777777" w:rsidR="00EA13EC" w:rsidRPr="004F74C6" w:rsidRDefault="00EA13EC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8E66F03" w14:textId="77777777" w:rsidR="00372915" w:rsidRDefault="00372915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FE3D94F" w14:textId="77777777" w:rsidR="006B2F6E" w:rsidRDefault="006B2F6E" w:rsidP="006B2F6E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37E2D6F2" w14:textId="581452F6" w:rsidR="00B7771D" w:rsidRPr="00012ADF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0801F0">
        <w:rPr>
          <w:rFonts w:cstheme="minorHAnsi"/>
          <w:b/>
          <w:bCs/>
          <w:color w:val="002677"/>
          <w:sz w:val="22"/>
          <w:szCs w:val="22"/>
          <w:lang w:val="el-GR"/>
        </w:rPr>
        <w:lastRenderedPageBreak/>
        <w:t>Ενοποιημένη Κατάσταση λογαριασμού αποτελεσμάτων Δε</w:t>
      </w:r>
      <w:r w:rsidR="0071655B">
        <w:rPr>
          <w:rFonts w:cstheme="minorHAnsi"/>
          <w:b/>
          <w:bCs/>
          <w:color w:val="002677"/>
          <w:sz w:val="22"/>
          <w:szCs w:val="22"/>
          <w:lang w:val="el-GR"/>
        </w:rPr>
        <w:t>υ</w:t>
      </w:r>
      <w:r w:rsidRPr="000801F0">
        <w:rPr>
          <w:rFonts w:cstheme="minorHAnsi"/>
          <w:b/>
          <w:bCs/>
          <w:color w:val="002677"/>
          <w:sz w:val="22"/>
          <w:szCs w:val="22"/>
          <w:lang w:val="el-GR"/>
        </w:rPr>
        <w:t>τ</w:t>
      </w:r>
      <w:r w:rsidR="0071655B">
        <w:rPr>
          <w:rFonts w:cstheme="minorHAnsi"/>
          <w:b/>
          <w:bCs/>
          <w:color w:val="002677"/>
          <w:sz w:val="22"/>
          <w:szCs w:val="22"/>
          <w:lang w:val="el-GR"/>
        </w:rPr>
        <w:t>έ</w:t>
      </w:r>
      <w:r w:rsidRPr="000801F0">
        <w:rPr>
          <w:rFonts w:cstheme="minorHAnsi"/>
          <w:b/>
          <w:bCs/>
          <w:color w:val="002677"/>
          <w:sz w:val="22"/>
          <w:szCs w:val="22"/>
          <w:lang w:val="el-GR"/>
        </w:rPr>
        <w:t xml:space="preserve">ρου </w:t>
      </w:r>
      <w:r w:rsidR="0071655B">
        <w:rPr>
          <w:rFonts w:cstheme="minorHAnsi"/>
          <w:b/>
          <w:bCs/>
          <w:color w:val="002677"/>
          <w:sz w:val="22"/>
          <w:szCs w:val="22"/>
          <w:lang w:val="el-GR"/>
        </w:rPr>
        <w:t>Τ</w:t>
      </w:r>
      <w:r w:rsidRPr="000801F0">
        <w:rPr>
          <w:rFonts w:cstheme="minorHAnsi"/>
          <w:b/>
          <w:bCs/>
          <w:color w:val="002677"/>
          <w:sz w:val="22"/>
          <w:szCs w:val="22"/>
          <w:lang w:val="el-GR"/>
        </w:rPr>
        <w:t>ριμήνου και Πρώτου Εξαμήνου 202</w:t>
      </w:r>
      <w:r w:rsidR="00012ADF" w:rsidRPr="00012ADF">
        <w:rPr>
          <w:rFonts w:cstheme="minorHAnsi"/>
          <w:b/>
          <w:bCs/>
          <w:color w:val="002677"/>
          <w:sz w:val="22"/>
          <w:szCs w:val="22"/>
          <w:lang w:val="el-GR"/>
        </w:rPr>
        <w:t>5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1134"/>
        <w:gridCol w:w="709"/>
        <w:gridCol w:w="1134"/>
        <w:gridCol w:w="1134"/>
        <w:gridCol w:w="708"/>
      </w:tblGrid>
      <w:tr w:rsidR="00012ADF" w:rsidRPr="00A02125" w14:paraId="16CF27E2" w14:textId="77777777" w:rsidTr="00A02125">
        <w:trPr>
          <w:trHeight w:val="77"/>
        </w:trPr>
        <w:tc>
          <w:tcPr>
            <w:tcW w:w="4111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685725B" w14:textId="77777777" w:rsidR="00012ADF" w:rsidRPr="00A02125" w:rsidRDefault="00012ADF" w:rsidP="00012ADF">
            <w:pPr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r w:rsidRPr="00A0212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4984A17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431003C5" w14:textId="215F2881" w:rsidR="00012ADF" w:rsidRPr="00A02125" w:rsidRDefault="00012ADF" w:rsidP="00012ADF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center"/>
          </w:tcPr>
          <w:p w14:paraId="586D8610" w14:textId="03114C72" w:rsidR="00012ADF" w:rsidRPr="00A02125" w:rsidRDefault="00012ADF" w:rsidP="00012ADF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center"/>
          </w:tcPr>
          <w:p w14:paraId="7CBD0A6C" w14:textId="421F337A" w:rsidR="00012ADF" w:rsidRPr="00A02125" w:rsidRDefault="00012ADF" w:rsidP="00012ADF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val="el-GR" w:eastAsia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center"/>
          </w:tcPr>
          <w:p w14:paraId="14EA97B1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3DD74629" w14:textId="06CA0BCA" w:rsidR="00012ADF" w:rsidRPr="00A0212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center"/>
          </w:tcPr>
          <w:p w14:paraId="0E4D253E" w14:textId="77777777" w:rsidR="00012ADF" w:rsidRPr="00B563F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78634662" w14:textId="409A8328" w:rsidR="00012ADF" w:rsidRPr="00A0212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1F3864" w:themeColor="accent1" w:themeShade="80"/>
              <w:right w:val="nil"/>
            </w:tcBorders>
            <w:shd w:val="clear" w:color="auto" w:fill="002677"/>
            <w:vAlign w:val="center"/>
          </w:tcPr>
          <w:p w14:paraId="139002FC" w14:textId="4405F876" w:rsidR="00012ADF" w:rsidRPr="00A02125" w:rsidRDefault="00012ADF" w:rsidP="00012ADF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</w:tr>
      <w:tr w:rsidR="00736E78" w:rsidRPr="00A02125" w14:paraId="408905BC" w14:textId="77777777" w:rsidTr="00015780">
        <w:trPr>
          <w:trHeight w:val="74"/>
        </w:trPr>
        <w:tc>
          <w:tcPr>
            <w:tcW w:w="4111" w:type="dxa"/>
            <w:tcBorders>
              <w:top w:val="dotted" w:sz="4" w:space="0" w:color="1F3864" w:themeColor="accent1" w:themeShade="80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439D4A2" w14:textId="297634A2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Έσοδα από τακτικές πτήσεις </w:t>
            </w:r>
          </w:p>
        </w:tc>
        <w:tc>
          <w:tcPr>
            <w:tcW w:w="1276" w:type="dxa"/>
            <w:tcBorders>
              <w:top w:val="dotted" w:sz="4" w:space="0" w:color="1F3864" w:themeColor="accent1" w:themeShade="80"/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9F01EC" w14:textId="44322D3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419,6</w:t>
            </w:r>
          </w:p>
        </w:tc>
        <w:tc>
          <w:tcPr>
            <w:tcW w:w="1134" w:type="dxa"/>
            <w:tcBorders>
              <w:top w:val="dotted" w:sz="4" w:space="0" w:color="1F3864" w:themeColor="accent1" w:themeShade="80"/>
              <w:left w:val="nil"/>
              <w:right w:val="nil"/>
            </w:tcBorders>
            <w:shd w:val="clear" w:color="auto" w:fill="EFF2F9"/>
            <w:vAlign w:val="bottom"/>
          </w:tcPr>
          <w:p w14:paraId="4419A7FB" w14:textId="2D734B8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418,0</w:t>
            </w:r>
          </w:p>
        </w:tc>
        <w:tc>
          <w:tcPr>
            <w:tcW w:w="709" w:type="dxa"/>
            <w:tcBorders>
              <w:top w:val="dotted" w:sz="4" w:space="0" w:color="1F3864" w:themeColor="accent1" w:themeShade="80"/>
              <w:left w:val="nil"/>
              <w:right w:val="nil"/>
            </w:tcBorders>
            <w:vAlign w:val="bottom"/>
          </w:tcPr>
          <w:p w14:paraId="274E1B95" w14:textId="1F10594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134" w:type="dxa"/>
            <w:tcBorders>
              <w:top w:val="dotted" w:sz="4" w:space="0" w:color="1F3864" w:themeColor="accent1" w:themeShade="80"/>
              <w:left w:val="nil"/>
              <w:right w:val="nil"/>
            </w:tcBorders>
            <w:vAlign w:val="bottom"/>
          </w:tcPr>
          <w:p w14:paraId="7A84DCF8" w14:textId="721EC8D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655,9</w:t>
            </w:r>
          </w:p>
        </w:tc>
        <w:tc>
          <w:tcPr>
            <w:tcW w:w="1134" w:type="dxa"/>
            <w:tcBorders>
              <w:top w:val="dotted" w:sz="4" w:space="0" w:color="1F3864" w:themeColor="accent1" w:themeShade="80"/>
              <w:left w:val="nil"/>
              <w:right w:val="nil"/>
            </w:tcBorders>
            <w:shd w:val="clear" w:color="auto" w:fill="EEF1F8"/>
            <w:vAlign w:val="bottom"/>
          </w:tcPr>
          <w:p w14:paraId="561E1EFD" w14:textId="6B78CD36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683,6</w:t>
            </w:r>
          </w:p>
        </w:tc>
        <w:tc>
          <w:tcPr>
            <w:tcW w:w="708" w:type="dxa"/>
            <w:tcBorders>
              <w:top w:val="dotted" w:sz="4" w:space="0" w:color="1F3864" w:themeColor="accent1" w:themeShade="80"/>
              <w:left w:val="nil"/>
              <w:right w:val="nil"/>
            </w:tcBorders>
            <w:vAlign w:val="bottom"/>
          </w:tcPr>
          <w:p w14:paraId="5C97A45A" w14:textId="128972A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736E78" w:rsidRPr="00A02125" w14:paraId="3CFD559A" w14:textId="77777777" w:rsidTr="00015780">
        <w:trPr>
          <w:trHeight w:val="137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3ADCC7F" w14:textId="61237CC3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</w:rPr>
              <w:t xml:space="preserve"> Έσοδα από ναυλωμένες πτήσεις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8AFDC1" w14:textId="05AB0AE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16,1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783591E1" w14:textId="0D2AB80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19,1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A2A4A7E" w14:textId="3D5D2D8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03789107" w14:textId="04BE7B0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19,8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4360776F" w14:textId="490CDA1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23,8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66D2B883" w14:textId="398763F5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20%</w:t>
            </w:r>
          </w:p>
        </w:tc>
      </w:tr>
      <w:tr w:rsidR="00736E78" w:rsidRPr="00A02125" w14:paraId="1D8514BE" w14:textId="77777777" w:rsidTr="00015780">
        <w:trPr>
          <w:trHeight w:val="74"/>
        </w:trPr>
        <w:tc>
          <w:tcPr>
            <w:tcW w:w="4111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DC9D0E1" w14:textId="1CB4243F" w:rsidR="00736E78" w:rsidRPr="00A02125" w:rsidRDefault="00736E78" w:rsidP="00736E78">
            <w:pPr>
              <w:ind w:left="44"/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>Άλλα έσοδα εκμετάλλευσης που   σχετίζονται με τις πτήσεις</w:t>
            </w:r>
          </w:p>
        </w:tc>
        <w:tc>
          <w:tcPr>
            <w:tcW w:w="1276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5F4313" w14:textId="5484D48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44,6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3B9CE2A1" w14:textId="11E69D2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43,8</w:t>
            </w:r>
          </w:p>
        </w:tc>
        <w:tc>
          <w:tcPr>
            <w:tcW w:w="709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0CAF1335" w14:textId="3575AC3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33808E21" w14:textId="2D806D3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73,5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65D95277" w14:textId="5EE7854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79,6</w:t>
            </w:r>
          </w:p>
        </w:tc>
        <w:tc>
          <w:tcPr>
            <w:tcW w:w="708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5D3D8E33" w14:textId="20DDFBD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8%</w:t>
            </w:r>
          </w:p>
        </w:tc>
      </w:tr>
      <w:tr w:rsidR="00736E78" w:rsidRPr="00A02125" w14:paraId="3F0B37E7" w14:textId="77777777" w:rsidTr="00255656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5798B2D" w14:textId="77777777" w:rsidR="00736E78" w:rsidRPr="00A02125" w:rsidRDefault="00736E78" w:rsidP="00736E78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Έσοδα από συμβάσεις με πελάτες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DD0221" w14:textId="4745067E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480,3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23A7A274" w14:textId="127FA184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480,9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710FF65B" w14:textId="2A85BFDF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C6B066F" w14:textId="78EC80F4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749,1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00E29018" w14:textId="62C20B98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787,0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EBE8BF0" w14:textId="45F527DE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5%</w:t>
            </w:r>
          </w:p>
        </w:tc>
      </w:tr>
      <w:tr w:rsidR="00736E78" w:rsidRPr="00A02125" w14:paraId="18E62F70" w14:textId="77777777" w:rsidTr="005B0EC7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C6C635C" w14:textId="25359069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Λοιπά έσοδα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2C98B0" w14:textId="37D80DA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7,3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2AEA70BB" w14:textId="04F30BC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10,4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7EF372C6" w14:textId="30FF33C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43%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5C8702A6" w14:textId="5CA805E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427D89B9" w14:textId="677084A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16,8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65195BDE" w14:textId="3E6C24C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21%</w:t>
            </w:r>
          </w:p>
        </w:tc>
      </w:tr>
      <w:tr w:rsidR="00736E78" w:rsidRPr="00A02125" w14:paraId="3A160EA7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1B6A2B8" w14:textId="12F1DBDF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Παροχές σε εργαζόμενους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8D4E2C" w14:textId="75069D4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(48,7)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55FCEC50" w14:textId="4A1E534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(54,8)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3029C57" w14:textId="19D1FA0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7634A94B" w14:textId="6AB40E2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(86,7)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D4F8D78" w14:textId="50B90A8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(98,3)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FF30BBC" w14:textId="3D9A225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13%</w:t>
            </w:r>
          </w:p>
        </w:tc>
      </w:tr>
      <w:tr w:rsidR="00736E78" w:rsidRPr="00A02125" w14:paraId="2D1B5F21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B3CF0F6" w14:textId="638CB7AD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Καύσιμα Αεροσκαφών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F4F477" w14:textId="41CBEE95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(103,1)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2F537709" w14:textId="7AC00426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(95,7)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00A6D36" w14:textId="240225E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-7%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1B0C7B66" w14:textId="1F3A3DC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(168,3)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48E6B62C" w14:textId="02402BC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(165,7)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55E77FB6" w14:textId="26FC66C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</w:tr>
      <w:tr w:rsidR="00736E78" w:rsidRPr="00A02125" w14:paraId="63D9F045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E1D520D" w14:textId="286F547F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Συντήρηση αεροσκαφών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E18721" w14:textId="0123D6F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(55,7)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0809BEA1" w14:textId="40388279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(61,6)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8E2DE75" w14:textId="3143021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327D22A5" w14:textId="5B563CD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(89,1)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5A6DC67" w14:textId="5427EFC5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(97,6)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6D620154" w14:textId="23FE0AB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10%</w:t>
            </w:r>
          </w:p>
        </w:tc>
      </w:tr>
      <w:tr w:rsidR="00736E78" w:rsidRPr="00A02125" w14:paraId="0D16AD72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AE3718A" w14:textId="52094E26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Τέλη υπέρπτησης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87993E" w14:textId="4C85C22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(24,2)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670EBEC1" w14:textId="6C32966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(24,4)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BB8ED25" w14:textId="78CF880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406E8805" w14:textId="7519840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(39,6)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6B651103" w14:textId="301C6A58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(41,7)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F4AA132" w14:textId="256BEE3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</w:tr>
      <w:tr w:rsidR="00736E78" w:rsidRPr="00A02125" w14:paraId="59E17CAB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A089D52" w14:textId="4A07E29E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Έξοδα επίγειας εξυπηρέτησης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882163" w14:textId="08C3C88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(27,3)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3C75C18F" w14:textId="7D2A453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(31,0)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C8F68B0" w14:textId="5F118D3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74AFE454" w14:textId="7AEEC14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(45,4)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AD753CB" w14:textId="23D574F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(54,4)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51B64E2A" w14:textId="7F008B3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20%</w:t>
            </w:r>
          </w:p>
        </w:tc>
      </w:tr>
      <w:tr w:rsidR="00736E78" w:rsidRPr="00A02125" w14:paraId="070620E8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A789D0A" w14:textId="2B8DA6EF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Χρεώσεις αεροδρομίων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2D5835" w14:textId="0E6A59E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(23,7)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269DBF59" w14:textId="21C2A23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(20,5)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CC287DC" w14:textId="7A5E9E2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-14%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1DE2C430" w14:textId="696CD90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(41,1)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1F8D20EF" w14:textId="0D895BA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(38,9)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4352CD9" w14:textId="6FB4F70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-5%</w:t>
            </w:r>
          </w:p>
        </w:tc>
      </w:tr>
      <w:tr w:rsidR="00736E78" w:rsidRPr="00A02125" w14:paraId="362FABFD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1290DDF" w14:textId="7449E900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Έξοδα catering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05D038" w14:textId="2A8BC5C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(14,2)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4D11D4A0" w14:textId="073189E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(13,9)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016E7B3" w14:textId="1DBBC7C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49C3953E" w14:textId="251D96F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(23,0)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6F4155D8" w14:textId="35F2FD7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(26,4)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8873602" w14:textId="5BA2ACD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15%</w:t>
            </w:r>
          </w:p>
        </w:tc>
      </w:tr>
      <w:tr w:rsidR="00736E78" w:rsidRPr="00A02125" w14:paraId="7E524DED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DE5EAC4" w14:textId="527C9E75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Έξοδα διανομής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6C4395" w14:textId="70DB395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(29,4)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4C6997ED" w14:textId="36F05D0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(30,0)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9F62F0D" w14:textId="61E8C60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4477B1EE" w14:textId="1DC8FB4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(48,3)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EF1D7BF" w14:textId="5B6801C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(51,0)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5EEE7D85" w14:textId="372DD03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6%</w:t>
            </w:r>
          </w:p>
        </w:tc>
      </w:tr>
      <w:tr w:rsidR="00736E78" w:rsidRPr="00A02125" w14:paraId="299FA142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6846B8B" w14:textId="11D7D948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Έξοδα προβολής και διαφήμισης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1E8373" w14:textId="06A33D16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(7,1)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5AA57EFC" w14:textId="0F077DB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(6,9)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1A0569D5" w14:textId="1E0BCAD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-3%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5CB9D383" w14:textId="378C1D1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(11,3)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FF43F33" w14:textId="705C774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(12,4)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82975F9" w14:textId="12E3B5D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10%</w:t>
            </w:r>
          </w:p>
        </w:tc>
      </w:tr>
      <w:tr w:rsidR="00736E78" w:rsidRPr="00A02125" w14:paraId="23D07097" w14:textId="77777777" w:rsidTr="005B0EC7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BFA259C" w14:textId="20B74C6A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Διάφορα έξοδα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81BA32" w14:textId="52ACCE5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(30,0)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69D0F8FD" w14:textId="697405F6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(39,6)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10ECE040" w14:textId="0FF6DE5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32%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6A639EA9" w14:textId="09896298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(50,8)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0ACAA811" w14:textId="432824C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(59,3)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B9E5285" w14:textId="1F5F9F19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17%</w:t>
            </w:r>
          </w:p>
        </w:tc>
      </w:tr>
      <w:tr w:rsidR="00736E78" w:rsidRPr="00A02125" w14:paraId="74E12A05" w14:textId="77777777" w:rsidTr="005B0EC7">
        <w:trPr>
          <w:trHeight w:val="74"/>
        </w:trPr>
        <w:tc>
          <w:tcPr>
            <w:tcW w:w="4111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E7C1425" w14:textId="32FB4D42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Μισθώσεις</w:t>
            </w:r>
          </w:p>
        </w:tc>
        <w:tc>
          <w:tcPr>
            <w:tcW w:w="1276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1D8743" w14:textId="3E10EE84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(9,8)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0CDAFB8C" w14:textId="1AA1DBC8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(0,5)</w:t>
            </w:r>
          </w:p>
        </w:tc>
        <w:tc>
          <w:tcPr>
            <w:tcW w:w="709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47F0D40B" w14:textId="205C254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-95%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7D038DF2" w14:textId="1101446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(11,8)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0C6988F5" w14:textId="7DE9360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(1,8)</w:t>
            </w:r>
          </w:p>
        </w:tc>
        <w:tc>
          <w:tcPr>
            <w:tcW w:w="708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47B7E536" w14:textId="7EA5764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-84%</w:t>
            </w:r>
          </w:p>
        </w:tc>
      </w:tr>
      <w:tr w:rsidR="00736E78" w:rsidRPr="00A02125" w14:paraId="6A82D4A5" w14:textId="77777777" w:rsidTr="005B0EC7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D16071C" w14:textId="77777777" w:rsidR="00736E78" w:rsidRPr="00A02125" w:rsidRDefault="00736E78" w:rsidP="00736E78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 προ φόρων, χρηματοδοτικών, επενδυτικών αποτελεσμάτων αποσβέσεων και απομειώσεων (</w:t>
            </w: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EBITDA</w:t>
            </w: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1BC2C5" w14:textId="13A04B85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310BD450" w14:textId="03819949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112,4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2DDCC540" w14:textId="081C3E0F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-2%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987E6F8" w14:textId="1FBC81F2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3DB46CD8" w14:textId="1A17E09A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156,2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4DC06F83" w14:textId="03802F04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6%</w:t>
            </w:r>
          </w:p>
        </w:tc>
      </w:tr>
      <w:tr w:rsidR="00736E78" w:rsidRPr="00A02125" w14:paraId="7912D61E" w14:textId="77777777" w:rsidTr="00085230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3D62C2A" w14:textId="4366A7A1" w:rsidR="00736E78" w:rsidRPr="00A02125" w:rsidRDefault="00736E78" w:rsidP="00736E7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>Περιθώριο ΚΠ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l-GR" w:eastAsia="el-GR"/>
              </w:rPr>
              <w:t>ΤΦΑ (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EBITDA Margin)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693493" w14:textId="6289E30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23,8%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3112EC35" w14:textId="24CAF4DB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23,4%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3DFC6A05" w14:textId="7777777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177C2792" w14:textId="0417B5D2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19,7%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1106D925" w14:textId="4C7F59B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19,9%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4EC51065" w14:textId="7777777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736E78" w:rsidRPr="00A02125" w14:paraId="2AA0DCAA" w14:textId="77777777" w:rsidTr="00085230">
        <w:trPr>
          <w:trHeight w:val="74"/>
        </w:trPr>
        <w:tc>
          <w:tcPr>
            <w:tcW w:w="4111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2AD3E86" w14:textId="6DCFB324" w:rsidR="00736E78" w:rsidRPr="00A0212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Αποσβέσεις</w:t>
            </w:r>
          </w:p>
        </w:tc>
        <w:tc>
          <w:tcPr>
            <w:tcW w:w="1276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447DD0" w14:textId="0C13597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(43,8)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7D9B53F3" w14:textId="061BC49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(50,9)</w:t>
            </w:r>
          </w:p>
        </w:tc>
        <w:tc>
          <w:tcPr>
            <w:tcW w:w="709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4AF084BE" w14:textId="61C20E1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16%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0821436B" w14:textId="66B286B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(84,2)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7F2423E7" w14:textId="00C71A6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(97,3)</w:t>
            </w:r>
          </w:p>
        </w:tc>
        <w:tc>
          <w:tcPr>
            <w:tcW w:w="708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2882526D" w14:textId="00C2256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16%</w:t>
            </w:r>
          </w:p>
        </w:tc>
      </w:tr>
      <w:tr w:rsidR="00736E78" w:rsidRPr="00A02125" w14:paraId="14BBB468" w14:textId="77777777" w:rsidTr="00085230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83E4104" w14:textId="77777777" w:rsidR="00736E78" w:rsidRPr="00A02125" w:rsidRDefault="00736E78" w:rsidP="00736E78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Κέρδη/(Ζημίες) χρήσης προ φόρων και τόκων (ΚΠΤΦ)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513FCD" w14:textId="103872C3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3094D00" w14:textId="27A680CF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61,5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26DBD550" w14:textId="07BAFDB1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-13%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A932F82" w14:textId="2E90A5E9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5B927913" w14:textId="06FFA735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D3BA87E" w14:textId="5581A793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-7%</w:t>
            </w:r>
          </w:p>
        </w:tc>
      </w:tr>
      <w:tr w:rsidR="00736E78" w:rsidRPr="00A02125" w14:paraId="6253AC77" w14:textId="77777777" w:rsidTr="00085230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004A9F7" w14:textId="77777777" w:rsidR="00736E78" w:rsidRPr="00A0212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>Περιθώριο ΚΠΤΦ (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l-GR" w:eastAsia="el-GR"/>
              </w:rPr>
              <w:t>ΕΒΙΤ Μ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argin)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F91457" w14:textId="31C9DB33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14,7%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678E1C81" w14:textId="7C3965AD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12,8%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51E872D4" w14:textId="7777777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5D8A136B" w14:textId="00BAA4A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8,5%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1517D900" w14:textId="49D3E0B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7,5%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4EEC8268" w14:textId="7777777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F12A08" w:rsidRPr="00A02125" w14:paraId="32D7B5BD" w14:textId="77777777" w:rsidTr="00AC5A79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F0C4585" w14:textId="74328DEA" w:rsidR="00F12A08" w:rsidRPr="00F12A08" w:rsidRDefault="00F12A08" w:rsidP="00F12A08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>Πιστωτικοί τόκοι</w:t>
            </w:r>
            <w:r w:rsidRPr="00F12A08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και Χρηματοοικονομικά  έσοδα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D3D58F" w14:textId="72E60E13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5DB4AB69" w14:textId="4B41CDA8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720BA86" w14:textId="3A38E772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72%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3DA0AFA6" w14:textId="756726C9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10,8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587F4EA4" w14:textId="10336C25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17,6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6F8D387" w14:textId="6BA15E33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63%</w:t>
            </w:r>
          </w:p>
        </w:tc>
      </w:tr>
      <w:tr w:rsidR="00F12A08" w:rsidRPr="00A02125" w14:paraId="500F0222" w14:textId="77777777" w:rsidTr="00AC5A79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863E962" w14:textId="2F19C69B" w:rsidR="00F12A08" w:rsidRPr="00A02125" w:rsidRDefault="00F12A08" w:rsidP="00F12A08">
            <w:pPr>
              <w:ind w:left="45" w:hanging="45"/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Τόκοι υποχρεώσεων και μισθώσεων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και Χρηματοοικονομικά  έξοδα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FD0049" w14:textId="2B9619E8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(19,7)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4400C663" w14:textId="3D8DB905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(20,4)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CC7A3F2" w14:textId="701DDAE8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41E96EE7" w14:textId="4AC886C3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(38,1)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35074A7" w14:textId="75973814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(41,1)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097F140" w14:textId="0C23F313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8%</w:t>
            </w:r>
          </w:p>
        </w:tc>
      </w:tr>
      <w:tr w:rsidR="00F12A08" w:rsidRPr="00A02125" w14:paraId="78D9B4F3" w14:textId="77777777" w:rsidTr="00AC5A79">
        <w:trPr>
          <w:trHeight w:val="74"/>
        </w:trPr>
        <w:tc>
          <w:tcPr>
            <w:tcW w:w="4111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AD1C30B" w14:textId="5DAAD2A0" w:rsidR="00F12A08" w:rsidRPr="0013524C" w:rsidRDefault="00F12A08" w:rsidP="00F12A08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Συναλλαγματικές διαφορές</w:t>
            </w:r>
            <w:r>
              <w:rPr>
                <w:rFonts w:cstheme="minorHAnsi"/>
                <w:color w:val="002677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002677"/>
                <w:sz w:val="22"/>
                <w:szCs w:val="22"/>
                <w:lang w:val="el-GR"/>
              </w:rPr>
              <w:t>και λοιπά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345E08" w14:textId="692B2718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1,9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FF2F9"/>
            <w:vAlign w:val="bottom"/>
          </w:tcPr>
          <w:p w14:paraId="50081513" w14:textId="6C380024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22,2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11D4E45" w14:textId="78161701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1085%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14:paraId="3C509B23" w14:textId="2564780A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(3,4)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7B5C6108" w14:textId="20284198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30,6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2036F83" w14:textId="31E157C9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</w:t>
            </w:r>
          </w:p>
        </w:tc>
      </w:tr>
      <w:tr w:rsidR="00F12A08" w:rsidRPr="00A02125" w14:paraId="6638B4CD" w14:textId="77777777" w:rsidTr="001144A3">
        <w:trPr>
          <w:trHeight w:val="74"/>
        </w:trPr>
        <w:tc>
          <w:tcPr>
            <w:tcW w:w="4111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2FFCF9A" w14:textId="5D93D723" w:rsidR="00F12A08" w:rsidRPr="00A02125" w:rsidRDefault="00F12A08" w:rsidP="00F12A08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Κέρδη/(Zημίες) από συμμετοχές</w:t>
            </w:r>
          </w:p>
        </w:tc>
        <w:tc>
          <w:tcPr>
            <w:tcW w:w="1276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CC3491" w14:textId="450EDC0E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(0,8)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7096E8D" w14:textId="7AA432A8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(0,1)</w:t>
            </w:r>
          </w:p>
        </w:tc>
        <w:tc>
          <w:tcPr>
            <w:tcW w:w="709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4FE2E2D3" w14:textId="747A4A56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-89%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4E249D0E" w14:textId="3D2E2020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(1,1)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6DAA0B35" w14:textId="054FDE3E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(0,0)</w:t>
            </w:r>
          </w:p>
        </w:tc>
        <w:tc>
          <w:tcPr>
            <w:tcW w:w="708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2F7CEA63" w14:textId="7BCC34FC" w:rsidR="00F12A08" w:rsidRPr="00A02125" w:rsidRDefault="00F12A08" w:rsidP="00F12A0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F12A0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-96%</w:t>
            </w:r>
          </w:p>
        </w:tc>
      </w:tr>
      <w:tr w:rsidR="00736E78" w:rsidRPr="002A2CB7" w14:paraId="1EDA4EE5" w14:textId="77777777" w:rsidTr="0082772B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87CF856" w14:textId="77777777" w:rsidR="00736E78" w:rsidRPr="00A02125" w:rsidRDefault="00736E78" w:rsidP="00736E78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Κέρδη/(Ζημίες) χρήσης προ φόρων (ΚΠΦ)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4FC93E" w14:textId="50089E08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58E82CBC" w14:textId="1A649BD6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73,5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E0900A3" w14:textId="47A6D01D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27%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1A6A4CFA" w14:textId="185DE265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7B17CB8A" w14:textId="24E37A8A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5AE85A3A" w14:textId="585CF915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109%</w:t>
            </w:r>
          </w:p>
        </w:tc>
      </w:tr>
      <w:tr w:rsidR="00736E78" w:rsidRPr="00A02125" w14:paraId="33C81A70" w14:textId="77777777" w:rsidTr="0082772B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8116947" w14:textId="77777777" w:rsidR="00736E78" w:rsidRPr="00A0212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val="en-US" w:eastAsia="el-GR"/>
              </w:rPr>
            </w:pP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eastAsia="el-GR"/>
              </w:rPr>
              <w:t>Περιθώριο ΚΠ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l-GR" w:eastAsia="el-GR"/>
              </w:rPr>
              <w:t>Φ (</w:t>
            </w:r>
            <w:r w:rsidRPr="00A02125">
              <w:rPr>
                <w:rFonts w:eastAsia="Times New Roman" w:cstheme="minorHAnsi"/>
                <w:i/>
                <w:iCs/>
                <w:color w:val="002677"/>
                <w:sz w:val="22"/>
                <w:szCs w:val="22"/>
                <w:lang w:val="en-US" w:eastAsia="el-GR"/>
              </w:rPr>
              <w:t>EBT Margin)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00AA94" w14:textId="3B371039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12,1%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FF2F9"/>
            <w:vAlign w:val="bottom"/>
          </w:tcPr>
          <w:p w14:paraId="279CA4D1" w14:textId="325AC116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15,3%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3F6BB07B" w14:textId="7777777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215E2E42" w14:textId="5CC58861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4,2%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right w:val="nil"/>
            </w:tcBorders>
            <w:shd w:val="clear" w:color="auto" w:fill="EEF1F8"/>
            <w:vAlign w:val="bottom"/>
          </w:tcPr>
          <w:p w14:paraId="35217012" w14:textId="2B67F69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8,4%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right w:val="nil"/>
            </w:tcBorders>
            <w:vAlign w:val="bottom"/>
          </w:tcPr>
          <w:p w14:paraId="5ED53110" w14:textId="77777777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736E78" w:rsidRPr="00A02125" w14:paraId="6B5BCC40" w14:textId="77777777" w:rsidTr="0082772B">
        <w:trPr>
          <w:trHeight w:val="74"/>
        </w:trPr>
        <w:tc>
          <w:tcPr>
            <w:tcW w:w="4111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EAB1C8C" w14:textId="0BB13249" w:rsidR="00736E78" w:rsidRPr="00A02125" w:rsidRDefault="00736E78" w:rsidP="00736E78">
            <w:pP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A0212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</w:t>
            </w:r>
            <w:r w:rsidRPr="00A02125">
              <w:rPr>
                <w:rFonts w:cstheme="minorHAnsi"/>
                <w:color w:val="002677"/>
                <w:sz w:val="22"/>
                <w:szCs w:val="22"/>
              </w:rPr>
              <w:t>Φόρος εισοδήματος</w:t>
            </w:r>
          </w:p>
        </w:tc>
        <w:tc>
          <w:tcPr>
            <w:tcW w:w="1276" w:type="dxa"/>
            <w:tcBorders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72E2E1" w14:textId="1A033ABC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(14,1)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4376982C" w14:textId="2226E02F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(19,0)</w:t>
            </w:r>
          </w:p>
        </w:tc>
        <w:tc>
          <w:tcPr>
            <w:tcW w:w="709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37B89FEF" w14:textId="07BD66FA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35%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40DC6665" w14:textId="7392EA9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(8,8)</w:t>
            </w:r>
          </w:p>
        </w:tc>
        <w:tc>
          <w:tcPr>
            <w:tcW w:w="1134" w:type="dxa"/>
            <w:tcBorders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625110F9" w14:textId="3565AB80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(18,2)</w:t>
            </w:r>
          </w:p>
        </w:tc>
        <w:tc>
          <w:tcPr>
            <w:tcW w:w="708" w:type="dxa"/>
            <w:tcBorders>
              <w:left w:val="nil"/>
              <w:bottom w:val="single" w:sz="4" w:space="0" w:color="002677"/>
              <w:right w:val="nil"/>
            </w:tcBorders>
            <w:vAlign w:val="bottom"/>
          </w:tcPr>
          <w:p w14:paraId="5B0509F4" w14:textId="4938582E" w:rsidR="00736E78" w:rsidRPr="00A02125" w:rsidRDefault="00736E78" w:rsidP="00736E78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107%</w:t>
            </w:r>
          </w:p>
        </w:tc>
      </w:tr>
      <w:tr w:rsidR="00736E78" w:rsidRPr="00B563F5" w14:paraId="37091B75" w14:textId="77777777" w:rsidTr="0082772B">
        <w:trPr>
          <w:trHeight w:val="74"/>
        </w:trPr>
        <w:tc>
          <w:tcPr>
            <w:tcW w:w="4111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BB7A1B2" w14:textId="77777777" w:rsidR="00736E78" w:rsidRPr="00A02125" w:rsidRDefault="00736E78" w:rsidP="00736E78">
            <w:pPr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</w:pPr>
            <w:r w:rsidRPr="00A02125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l-GR" w:eastAsia="el-GR"/>
              </w:rPr>
              <w:t>Κέρδη/(Ζημίες) χρήσης μετά από φόρους</w:t>
            </w:r>
          </w:p>
        </w:tc>
        <w:tc>
          <w:tcPr>
            <w:tcW w:w="1276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C2F99E" w14:textId="1F521E67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FF2F9"/>
            <w:vAlign w:val="bottom"/>
          </w:tcPr>
          <w:p w14:paraId="68EECE9B" w14:textId="3EADC15A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54,5</w:t>
            </w:r>
          </w:p>
        </w:tc>
        <w:tc>
          <w:tcPr>
            <w:tcW w:w="709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2C78F098" w14:textId="5688E129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24%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36B2BA5B" w14:textId="224D41FA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shd w:val="clear" w:color="auto" w:fill="EEF1F8"/>
            <w:vAlign w:val="bottom"/>
          </w:tcPr>
          <w:p w14:paraId="01A40550" w14:textId="6A206781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47,9</w:t>
            </w:r>
          </w:p>
        </w:tc>
        <w:tc>
          <w:tcPr>
            <w:tcW w:w="708" w:type="dxa"/>
            <w:tcBorders>
              <w:top w:val="single" w:sz="4" w:space="0" w:color="002677"/>
              <w:left w:val="nil"/>
              <w:bottom w:val="single" w:sz="4" w:space="0" w:color="002677"/>
              <w:right w:val="nil"/>
            </w:tcBorders>
            <w:vAlign w:val="bottom"/>
          </w:tcPr>
          <w:p w14:paraId="0C6C6FC9" w14:textId="59EE0919" w:rsidR="00736E78" w:rsidRPr="00736E78" w:rsidRDefault="00736E78" w:rsidP="00736E78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36E78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109%</w:t>
            </w:r>
          </w:p>
        </w:tc>
      </w:tr>
    </w:tbl>
    <w:p w14:paraId="2C0628E7" w14:textId="77777777" w:rsidR="00647256" w:rsidRDefault="00647256" w:rsidP="00647256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02A6E20" w14:textId="77777777" w:rsidR="00A02125" w:rsidRDefault="00A02125" w:rsidP="00647256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41C0675" w14:textId="77777777" w:rsidR="00A02125" w:rsidRDefault="00A02125" w:rsidP="00647256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A9D22F9" w14:textId="77777777" w:rsidR="00A02125" w:rsidRDefault="00A02125" w:rsidP="00647256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44B8DFF8" w14:textId="77777777" w:rsidR="00A02125" w:rsidRDefault="00A02125" w:rsidP="00647256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7F898603" w14:textId="4C4D6520" w:rsidR="00B7771D" w:rsidRPr="006E416D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E416D">
        <w:rPr>
          <w:rFonts w:cstheme="minorHAnsi"/>
          <w:b/>
          <w:bCs/>
          <w:color w:val="002677"/>
          <w:sz w:val="22"/>
          <w:szCs w:val="22"/>
          <w:lang w:val="el-GR"/>
        </w:rPr>
        <w:t>Συνοπτική Ενοποιημένη Κατάσταση Οικονομικής Θέσης</w:t>
      </w:r>
    </w:p>
    <w:tbl>
      <w:tblPr>
        <w:tblW w:w="10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7"/>
        <w:gridCol w:w="1417"/>
        <w:gridCol w:w="1418"/>
      </w:tblGrid>
      <w:tr w:rsidR="00D21BCF" w:rsidRPr="0074469D" w14:paraId="0573D2EC" w14:textId="77777777" w:rsidTr="00D20F82">
        <w:trPr>
          <w:trHeight w:val="233"/>
        </w:trPr>
        <w:tc>
          <w:tcPr>
            <w:tcW w:w="7227" w:type="dxa"/>
            <w:tcBorders>
              <w:top w:val="single" w:sz="2" w:space="0" w:color="002677"/>
              <w:left w:val="single" w:sz="2" w:space="0" w:color="002677"/>
              <w:bottom w:val="single" w:sz="2" w:space="0" w:color="002677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22200D5" w14:textId="77777777" w:rsidR="00D21BCF" w:rsidRPr="0074469D" w:rsidRDefault="00D21BCF" w:rsidP="00D20F82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r w:rsidRPr="0074469D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002677"/>
            <w:vAlign w:val="center"/>
          </w:tcPr>
          <w:p w14:paraId="3D869E1B" w14:textId="77777777" w:rsidR="00D21BCF" w:rsidRPr="0006143C" w:rsidRDefault="00D21BCF" w:rsidP="00D20F82">
            <w:pPr>
              <w:spacing w:line="280" w:lineRule="exact"/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31.12.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single" w:sz="2" w:space="0" w:color="002677"/>
              <w:right w:val="single" w:sz="2" w:space="0" w:color="002677"/>
            </w:tcBorders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6C4A85" w14:textId="32B62D44" w:rsidR="00D21BCF" w:rsidRPr="0006143C" w:rsidRDefault="00D21BCF" w:rsidP="00D20F82">
            <w:pPr>
              <w:spacing w:line="280" w:lineRule="exact"/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</w:t>
            </w:r>
            <w:r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0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06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.</w:t>
            </w:r>
            <w:r w:rsidRPr="0074469D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D21BCF" w:rsidRPr="0074469D" w14:paraId="4F4E4A4A" w14:textId="77777777" w:rsidTr="00D20F82">
        <w:trPr>
          <w:trHeight w:hRule="exact" w:val="170"/>
        </w:trPr>
        <w:tc>
          <w:tcPr>
            <w:tcW w:w="7227" w:type="dxa"/>
            <w:tcBorders>
              <w:top w:val="single" w:sz="2" w:space="0" w:color="002677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76F4BED" w14:textId="77777777" w:rsidR="00D21BCF" w:rsidRPr="0074469D" w:rsidRDefault="00D21BCF" w:rsidP="00D20F82">
            <w:pPr>
              <w:rPr>
                <w:rFonts w:cstheme="minorHAnsi"/>
                <w:color w:val="002677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center"/>
          </w:tcPr>
          <w:p w14:paraId="13C092AD" w14:textId="77777777" w:rsidR="00D21BCF" w:rsidRPr="0074469D" w:rsidRDefault="00D21BCF" w:rsidP="00D20F82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l-GR" w:eastAsia="el-GR"/>
              </w:rPr>
            </w:pP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C7A693" w14:textId="77777777" w:rsidR="00D21BCF" w:rsidRPr="0074469D" w:rsidRDefault="00D21BCF" w:rsidP="00D20F82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l-GR" w:eastAsia="el-GR"/>
              </w:rPr>
            </w:pPr>
          </w:p>
        </w:tc>
      </w:tr>
      <w:tr w:rsidR="004413BD" w:rsidRPr="0074469D" w14:paraId="03BA8687" w14:textId="77777777" w:rsidTr="005A32C9">
        <w:trPr>
          <w:trHeight w:val="233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984E083" w14:textId="77777777" w:rsidR="004413BD" w:rsidRPr="0074469D" w:rsidRDefault="004413BD" w:rsidP="004413B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Μη κυκλοφορούντα περιουσιακά στοιχεία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5BD15" w14:textId="77777777" w:rsidR="004413BD" w:rsidRPr="003D220E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1.812,0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53B102" w14:textId="3D276622" w:rsidR="004413BD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1.843,9</w:t>
            </w:r>
          </w:p>
        </w:tc>
      </w:tr>
      <w:tr w:rsidR="005A6E00" w:rsidRPr="0074469D" w14:paraId="0FA0D783" w14:textId="77777777" w:rsidTr="005A32C9">
        <w:trPr>
          <w:trHeight w:val="237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5C792A1" w14:textId="77777777" w:rsidR="005A6E00" w:rsidRPr="0001677F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Ταμειακά Διαθέσιμα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0FD0E" w14:textId="77777777" w:rsidR="005A6E00" w:rsidRPr="00920E02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575,6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0908BB" w14:textId="44C9F790" w:rsidR="005A6E00" w:rsidRPr="00920E02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604,3</w:t>
            </w:r>
          </w:p>
        </w:tc>
      </w:tr>
      <w:tr w:rsidR="005A6E00" w:rsidRPr="0074469D" w14:paraId="6EA8BCD5" w14:textId="77777777" w:rsidTr="005A32C9">
        <w:trPr>
          <w:trHeight w:val="23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8786D72" w14:textId="77777777" w:rsidR="005A6E00" w:rsidRPr="0074469D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01677F">
              <w:rPr>
                <w:rFonts w:cstheme="minorHAnsi"/>
                <w:color w:val="002677"/>
                <w:sz w:val="22"/>
                <w:szCs w:val="22"/>
              </w:rPr>
              <w:t>Δεσμευμένες καταθέσεις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B7260" w14:textId="77777777" w:rsidR="005A6E00" w:rsidRPr="00607E5C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2F9D0C" w14:textId="79E7CE10" w:rsidR="005A6E00" w:rsidRPr="0078762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5,8</w:t>
            </w:r>
          </w:p>
        </w:tc>
      </w:tr>
      <w:tr w:rsidR="005A6E00" w:rsidRPr="0074469D" w14:paraId="54C1F97E" w14:textId="77777777" w:rsidTr="005A32C9">
        <w:trPr>
          <w:trHeight w:val="23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A6131A9" w14:textId="77777777" w:rsidR="005A6E00" w:rsidRPr="00920E02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n-US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Xρηματοοικονομικά περιουσιακά στοιχεία</w:t>
            </w:r>
            <w:r>
              <w:rPr>
                <w:rFonts w:cstheme="minorHAnsi"/>
                <w:color w:val="002677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B0B04" w14:textId="77777777" w:rsidR="005A6E00" w:rsidRPr="00920E02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A2847F" w14:textId="411A62A7" w:rsidR="005A6E00" w:rsidRPr="00920E02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231,8</w:t>
            </w:r>
          </w:p>
        </w:tc>
      </w:tr>
      <w:tr w:rsidR="005A6E00" w:rsidRPr="0074469D" w14:paraId="4506AAE8" w14:textId="77777777" w:rsidTr="005A32C9">
        <w:trPr>
          <w:trHeight w:val="280"/>
        </w:trPr>
        <w:tc>
          <w:tcPr>
            <w:tcW w:w="7227" w:type="dxa"/>
            <w:tcBorders>
              <w:top w:val="nil"/>
              <w:left w:val="nil"/>
              <w:bottom w:val="single" w:sz="2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08D2C45" w14:textId="77777777" w:rsidR="005A6E00" w:rsidRPr="0074469D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Λοιπά κυκλοφορούντα περιουσιακά στοιχεία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32E81036" w14:textId="77777777" w:rsidR="005A6E00" w:rsidRPr="0074469D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C2A37D" w14:textId="4EB7AD70" w:rsidR="005A6E00" w:rsidRPr="0074469D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368,0</w:t>
            </w:r>
          </w:p>
        </w:tc>
      </w:tr>
      <w:tr w:rsidR="004413BD" w:rsidRPr="0074469D" w14:paraId="59786FBF" w14:textId="77777777" w:rsidTr="005A32C9">
        <w:trPr>
          <w:trHeight w:val="269"/>
        </w:trPr>
        <w:tc>
          <w:tcPr>
            <w:tcW w:w="722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BD75E79" w14:textId="77777777" w:rsidR="004413BD" w:rsidRPr="0074469D" w:rsidRDefault="004413BD" w:rsidP="004413BD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Σύνολο Περιουσιακών Στοιχείων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005019C8" w14:textId="77777777" w:rsidR="004413BD" w:rsidRPr="00787620" w:rsidRDefault="004413BD" w:rsidP="004413B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2.874,4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F9CE9F" w14:textId="79E2684F" w:rsidR="004413BD" w:rsidRPr="004413BD" w:rsidRDefault="004413BD" w:rsidP="004413B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3.053,7</w:t>
            </w:r>
          </w:p>
        </w:tc>
      </w:tr>
      <w:tr w:rsidR="004413BD" w:rsidRPr="0074469D" w14:paraId="75A7EB92" w14:textId="77777777" w:rsidTr="005A32C9">
        <w:trPr>
          <w:trHeight w:val="276"/>
        </w:trPr>
        <w:tc>
          <w:tcPr>
            <w:tcW w:w="7227" w:type="dxa"/>
            <w:tcBorders>
              <w:top w:val="single" w:sz="2" w:space="0" w:color="002677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C63CD45" w14:textId="77777777" w:rsidR="004413BD" w:rsidRPr="0074469D" w:rsidRDefault="004413BD" w:rsidP="004413B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Σύνολο Ιδ</w:t>
            </w: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ίων</w:t>
            </w: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 Κεφαλαίων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nil"/>
              <w:right w:val="nil"/>
            </w:tcBorders>
            <w:vAlign w:val="bottom"/>
          </w:tcPr>
          <w:p w14:paraId="1BC6DCEF" w14:textId="77777777" w:rsidR="004413BD" w:rsidRPr="0074469D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499,4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1682E2" w14:textId="0214FC2A" w:rsidR="004413BD" w:rsidRPr="0074469D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438,3</w:t>
            </w:r>
          </w:p>
        </w:tc>
      </w:tr>
      <w:tr w:rsidR="004413BD" w:rsidRPr="0074469D" w14:paraId="4A47B2FA" w14:textId="77777777" w:rsidTr="005A32C9">
        <w:trPr>
          <w:trHeight w:val="283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6052737" w14:textId="77777777" w:rsidR="004413BD" w:rsidRPr="0074469D" w:rsidRDefault="004413BD" w:rsidP="004413B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>Υποχρεώσεις από μισθώσεις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E4777" w14:textId="77777777" w:rsidR="004413BD" w:rsidRPr="0074469D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1.047,6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C87BF1" w14:textId="67C1DA8A" w:rsidR="004413BD" w:rsidRPr="0074469D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949,9</w:t>
            </w:r>
          </w:p>
        </w:tc>
      </w:tr>
      <w:tr w:rsidR="004413BD" w:rsidRPr="0074469D" w14:paraId="541F0888" w14:textId="77777777" w:rsidTr="005A32C9">
        <w:trPr>
          <w:trHeight w:val="27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BAA0659" w14:textId="77777777" w:rsidR="004413BD" w:rsidRPr="0074469D" w:rsidRDefault="004413BD" w:rsidP="004413BD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</w:rPr>
              <w:t xml:space="preserve">Δανειακές υποχρεώσεις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62E5" w14:textId="77777777" w:rsidR="004413BD" w:rsidRPr="0074469D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383,6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58A783" w14:textId="2C0351F5" w:rsidR="004413BD" w:rsidRPr="00783066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417,7</w:t>
            </w:r>
          </w:p>
        </w:tc>
      </w:tr>
      <w:tr w:rsidR="004413BD" w:rsidRPr="0074469D" w14:paraId="56494446" w14:textId="77777777" w:rsidTr="005A32C9">
        <w:trPr>
          <w:trHeight w:val="272"/>
        </w:trPr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5972F3C" w14:textId="77777777" w:rsidR="004413BD" w:rsidRPr="001666A9" w:rsidRDefault="004413BD" w:rsidP="004413B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Λοιπές μακροπρόθεσμες υποχρεώσεις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BE4DE" w14:textId="77777777" w:rsidR="004413BD" w:rsidRPr="001666A9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176,7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87EAD9" w14:textId="462FED93" w:rsidR="004413BD" w:rsidRPr="001666A9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227,8</w:t>
            </w:r>
          </w:p>
        </w:tc>
      </w:tr>
      <w:tr w:rsidR="004413BD" w:rsidRPr="0074469D" w14:paraId="3B97DFB1" w14:textId="77777777" w:rsidTr="005A32C9">
        <w:trPr>
          <w:trHeight w:val="272"/>
        </w:trPr>
        <w:tc>
          <w:tcPr>
            <w:tcW w:w="7227" w:type="dxa"/>
            <w:tcBorders>
              <w:top w:val="nil"/>
              <w:left w:val="nil"/>
              <w:bottom w:val="single" w:sz="2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3CD092C" w14:textId="77777777" w:rsidR="004413BD" w:rsidRPr="001666A9" w:rsidRDefault="004413BD" w:rsidP="004413B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color w:val="002677"/>
                <w:sz w:val="22"/>
                <w:szCs w:val="22"/>
                <w:lang w:val="el-GR"/>
              </w:rPr>
              <w:t>Λοιπές βραχυπρόθεσμες υποχρεώσεις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2677"/>
              <w:right w:val="nil"/>
            </w:tcBorders>
            <w:vAlign w:val="bottom"/>
          </w:tcPr>
          <w:p w14:paraId="7BE5B6D2" w14:textId="77777777" w:rsidR="004413BD" w:rsidRPr="001666A9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607E5C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A38E53" w14:textId="748870C7" w:rsidR="004413BD" w:rsidRPr="001666A9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1.019,9</w:t>
            </w:r>
          </w:p>
        </w:tc>
      </w:tr>
      <w:tr w:rsidR="004413BD" w:rsidRPr="0074469D" w14:paraId="16AE0198" w14:textId="77777777" w:rsidTr="005A32C9">
        <w:trPr>
          <w:trHeight w:val="263"/>
        </w:trPr>
        <w:tc>
          <w:tcPr>
            <w:tcW w:w="722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C6D6576" w14:textId="77777777" w:rsidR="004413BD" w:rsidRPr="0074469D" w:rsidRDefault="004413BD" w:rsidP="004413BD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74469D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Σύνολο Ιδίων Κεφαλαίων και Υποχρεώσεων</w:t>
            </w:r>
          </w:p>
        </w:tc>
        <w:tc>
          <w:tcPr>
            <w:tcW w:w="1417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vAlign w:val="bottom"/>
          </w:tcPr>
          <w:p w14:paraId="1BDA49BE" w14:textId="77777777" w:rsidR="004413BD" w:rsidRPr="00787620" w:rsidRDefault="004413BD" w:rsidP="004413B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787620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2.874,4</w:t>
            </w:r>
          </w:p>
        </w:tc>
        <w:tc>
          <w:tcPr>
            <w:tcW w:w="1418" w:type="dxa"/>
            <w:tcBorders>
              <w:top w:val="single" w:sz="2" w:space="0" w:color="002677"/>
              <w:left w:val="nil"/>
              <w:bottom w:val="single" w:sz="2" w:space="0" w:color="002677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4BCAC1" w14:textId="1F734AD5" w:rsidR="004413BD" w:rsidRPr="004413BD" w:rsidRDefault="004413BD" w:rsidP="004413B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4413BD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3.053,7</w:t>
            </w:r>
          </w:p>
        </w:tc>
      </w:tr>
    </w:tbl>
    <w:p w14:paraId="75AE183C" w14:textId="77777777" w:rsidR="00B7771D" w:rsidRDefault="00B7771D" w:rsidP="00B7771D">
      <w:pPr>
        <w:jc w:val="both"/>
        <w:rPr>
          <w:rFonts w:cstheme="minorHAnsi"/>
          <w:color w:val="002677"/>
          <w:sz w:val="18"/>
          <w:szCs w:val="18"/>
          <w:lang w:val="el-GR"/>
        </w:rPr>
      </w:pPr>
    </w:p>
    <w:p w14:paraId="319456D6" w14:textId="1ECF9B9C" w:rsidR="003D4017" w:rsidRPr="003D4017" w:rsidRDefault="003D4017" w:rsidP="003D4017">
      <w:pPr>
        <w:jc w:val="both"/>
        <w:rPr>
          <w:rFonts w:cstheme="minorHAnsi"/>
          <w:color w:val="002677"/>
          <w:sz w:val="14"/>
          <w:szCs w:val="14"/>
          <w:lang w:val="el-GR"/>
        </w:rPr>
      </w:pPr>
      <w:r w:rsidRPr="005A6E00">
        <w:rPr>
          <w:rFonts w:cstheme="minorHAnsi"/>
          <w:color w:val="002677"/>
          <w:sz w:val="14"/>
          <w:szCs w:val="14"/>
          <w:lang w:val="el-GR"/>
        </w:rPr>
        <w:t xml:space="preserve">Σημειώσεις: </w:t>
      </w:r>
      <w:r w:rsidRPr="005A6E00">
        <w:rPr>
          <w:rFonts w:cstheme="minorHAnsi"/>
          <w:color w:val="002677"/>
          <w:sz w:val="14"/>
          <w:szCs w:val="14"/>
          <w:lang w:val="el-GR"/>
        </w:rPr>
        <w:br/>
      </w:r>
      <w:r w:rsidRPr="005A6E00">
        <w:rPr>
          <w:rFonts w:cstheme="minorHAnsi"/>
          <w:color w:val="002677"/>
          <w:sz w:val="14"/>
          <w:szCs w:val="14"/>
          <w:vertAlign w:val="superscript"/>
          <w:lang w:val="el-GR"/>
        </w:rPr>
        <w:t>1</w:t>
      </w:r>
      <w:r w:rsidRPr="005A6E00">
        <w:rPr>
          <w:rFonts w:cstheme="minorHAnsi"/>
          <w:color w:val="002677"/>
          <w:sz w:val="14"/>
          <w:szCs w:val="14"/>
          <w:lang w:val="el-GR"/>
        </w:rPr>
        <w:t xml:space="preserve"> Περιλαμβάνει ενεχυριασμένα Ομόλογα €27,7 εκατ. στις 31/12/2024.</w:t>
      </w:r>
    </w:p>
    <w:p w14:paraId="2676AF66" w14:textId="77777777" w:rsidR="00A02125" w:rsidRDefault="00A02125" w:rsidP="00067ACF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</w:p>
    <w:p w14:paraId="01ED655D" w14:textId="77777777" w:rsidR="00A02125" w:rsidRDefault="00A02125" w:rsidP="00067ACF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l-GR"/>
        </w:rPr>
      </w:pPr>
    </w:p>
    <w:p w14:paraId="0B280E26" w14:textId="6774A488" w:rsidR="00B7771D" w:rsidRPr="00694134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  <w:r w:rsidRPr="00694134">
        <w:rPr>
          <w:rFonts w:cstheme="minorHAnsi"/>
          <w:b/>
          <w:bCs/>
          <w:color w:val="002677"/>
          <w:sz w:val="22"/>
          <w:szCs w:val="22"/>
          <w:lang w:val="el-GR"/>
        </w:rPr>
        <w:t>Συνοπτική Ενοποιημένη Κατάσταση Ταμειακών Ροών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1984"/>
      </w:tblGrid>
      <w:tr w:rsidR="00B7771D" w:rsidRPr="00B563F5" w14:paraId="4F00D7DC" w14:textId="77777777" w:rsidTr="003326B4">
        <w:trPr>
          <w:trHeight w:val="188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1AB37CB5" w14:textId="77777777" w:rsidR="00B7771D" w:rsidRPr="00B563F5" w:rsidRDefault="00B7771D" w:rsidP="00BE2482">
            <w:pPr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(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σε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 xml:space="preserve"> €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εκατ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bottom"/>
          </w:tcPr>
          <w:p w14:paraId="72C3E85E" w14:textId="262EC7E9" w:rsidR="00B7771D" w:rsidRPr="00B563F5" w:rsidRDefault="00B7771D" w:rsidP="00BE2482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30.</w:t>
            </w:r>
            <w:r w:rsidRPr="00B563F5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0</w:t>
            </w:r>
            <w:r w:rsidRPr="00B563F5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6.</w:t>
            </w:r>
            <w:r w:rsidRPr="00B563F5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12ADF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B65C53" w14:textId="0CAD36F3" w:rsidR="00B7771D" w:rsidRPr="00012ADF" w:rsidRDefault="00B7771D" w:rsidP="00BE2482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l-GR"/>
              </w:rPr>
              <w:t>30.06.</w:t>
            </w:r>
            <w:r w:rsidRPr="00B563F5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202</w:t>
            </w:r>
            <w:r w:rsidR="00012ADF"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  <w:t>5</w:t>
            </w:r>
          </w:p>
        </w:tc>
      </w:tr>
      <w:tr w:rsidR="00B7771D" w:rsidRPr="00B563F5" w14:paraId="2BE137B9" w14:textId="77777777" w:rsidTr="003326B4">
        <w:trPr>
          <w:trHeight w:val="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6E65E87D" w14:textId="77777777" w:rsidR="00B7771D" w:rsidRPr="00B563F5" w:rsidRDefault="00B7771D" w:rsidP="00BE2482">
            <w:pPr>
              <w:rPr>
                <w:rFonts w:cstheme="minorHAnsi"/>
                <w:color w:val="002677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4EDE2" w14:textId="77777777" w:rsidR="00B7771D" w:rsidRPr="00B563F5" w:rsidRDefault="00B7771D" w:rsidP="00BE2482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n-US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76D54A" w14:textId="77777777" w:rsidR="00B7771D" w:rsidRPr="00B563F5" w:rsidRDefault="00B7771D" w:rsidP="00BE2482">
            <w:pPr>
              <w:jc w:val="center"/>
              <w:textAlignment w:val="bottom"/>
              <w:rPr>
                <w:rFonts w:eastAsia="Calibri" w:cstheme="minorHAnsi"/>
                <w:color w:val="002677"/>
                <w:kern w:val="24"/>
                <w:sz w:val="22"/>
                <w:szCs w:val="22"/>
                <w:lang w:val="en-US" w:eastAsia="el-GR"/>
              </w:rPr>
            </w:pPr>
          </w:p>
        </w:tc>
      </w:tr>
      <w:tr w:rsidR="005A6E00" w:rsidRPr="00B563F5" w14:paraId="0ACB4870" w14:textId="77777777" w:rsidTr="004413BD">
        <w:trPr>
          <w:trHeight w:val="19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A2384C0" w14:textId="77777777" w:rsidR="005A6E00" w:rsidRPr="00D851EE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εισροές/ (εκροές) από λειτουργικές δραστηριότητες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8C411" w14:textId="6AD8E392" w:rsidR="005A6E00" w:rsidRPr="00B563F5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10418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357,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76A601" w14:textId="720C891F" w:rsidR="005A6E00" w:rsidRPr="00EA13EC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228,9</w:t>
            </w:r>
          </w:p>
        </w:tc>
      </w:tr>
      <w:tr w:rsidR="005A6E00" w:rsidRPr="00B563F5" w14:paraId="7EE54BBC" w14:textId="77777777" w:rsidTr="004413BD">
        <w:trPr>
          <w:trHeight w:val="199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3A69C86" w14:textId="77777777" w:rsidR="005A6E00" w:rsidRPr="00D851EE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 / (εκροές) από επενδυτικές δραστηριότητες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F7E20" w14:textId="7FF00EFB" w:rsidR="005A6E00" w:rsidRPr="00B563F5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10418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65,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264301" w14:textId="1037D928" w:rsidR="005A6E00" w:rsidRPr="00EA13EC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7,1</w:t>
            </w:r>
          </w:p>
        </w:tc>
      </w:tr>
      <w:tr w:rsidR="005A6E00" w:rsidRPr="00B563F5" w14:paraId="584C1E96" w14:textId="77777777" w:rsidTr="004413BD">
        <w:trPr>
          <w:trHeight w:val="193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3D976B5A" w14:textId="77777777" w:rsidR="005A6E00" w:rsidRPr="00D851EE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color w:val="002677"/>
                <w:sz w:val="22"/>
                <w:szCs w:val="22"/>
                <w:lang w:val="el-GR"/>
              </w:rPr>
              <w:t>Καθαρές ταμειακές εισροές/ (εκροές) από χρηματοδοτικές δραστηριότητες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E1F81" w14:textId="1F4492A6" w:rsidR="005A6E00" w:rsidRPr="00B563F5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10418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192,5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0B8076" w14:textId="7F64D9B8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126,3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</w:tr>
      <w:tr w:rsidR="005A6E00" w:rsidRPr="00B563F5" w14:paraId="4680C516" w14:textId="77777777" w:rsidTr="004413BD">
        <w:trPr>
          <w:trHeight w:val="23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7B3E33A9" w14:textId="77777777" w:rsidR="005A6E00" w:rsidRPr="00D851EE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Καθαρή αύξηση / (μείωση) στα ταμειακά διαθέσιμα και ισοδύναμα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0CC10" w14:textId="28185E40" w:rsidR="005A6E00" w:rsidRPr="00B563F5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10418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99,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B14A6B" w14:textId="524E39FA" w:rsidR="005A6E00" w:rsidRPr="00EA13EC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109,6</w:t>
            </w:r>
          </w:p>
        </w:tc>
      </w:tr>
      <w:tr w:rsidR="004413BD" w:rsidRPr="00B563F5" w14:paraId="217E5622" w14:textId="77777777" w:rsidTr="004413BD">
        <w:trPr>
          <w:trHeight w:val="21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5515AB24" w14:textId="77777777" w:rsidR="004413BD" w:rsidRPr="00D851EE" w:rsidRDefault="004413BD" w:rsidP="004413B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color w:val="002677"/>
                <w:sz w:val="22"/>
                <w:szCs w:val="22"/>
                <w:lang w:val="el-GR"/>
              </w:rPr>
              <w:t>Ταμειακά διαθέσιμα και ισοδύναμα στην αρχή της χρήσης</w:t>
            </w:r>
            <w:r w:rsidRPr="00D851EE">
              <w:rPr>
                <w:rFonts w:cstheme="minorHAnsi"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36F3A" w14:textId="5E85A18E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10418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DED42C" w14:textId="5A8FFDC0" w:rsidR="004413BD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769,1</w:t>
            </w:r>
          </w:p>
        </w:tc>
      </w:tr>
      <w:tr w:rsidR="004413BD" w:rsidRPr="00B563F5" w14:paraId="521687E0" w14:textId="77777777" w:rsidTr="004413BD">
        <w:trPr>
          <w:trHeight w:val="194"/>
        </w:trPr>
        <w:tc>
          <w:tcPr>
            <w:tcW w:w="6663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06BB0808" w14:textId="77777777" w:rsidR="004413BD" w:rsidRPr="00D851EE" w:rsidRDefault="004413BD" w:rsidP="004413BD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color w:val="002677"/>
                <w:sz w:val="22"/>
                <w:szCs w:val="22"/>
                <w:lang w:val="el-GR"/>
              </w:rPr>
              <w:t>Επίδραση συναλλαγματικών διαφορών στα ταμειακά διαθέσιμα &amp; ισοδύναμα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502FDECA" w14:textId="090B80EA" w:rsidR="004413BD" w:rsidRPr="00B563F5" w:rsidRDefault="004413BD" w:rsidP="004413BD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104189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8,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82DAF3" w14:textId="58142BBF" w:rsidR="004413BD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</w:t>
            </w: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36,8</w:t>
            </w:r>
            <w: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</w:tr>
      <w:tr w:rsidR="003326B4" w:rsidRPr="00B563F5" w14:paraId="30898545" w14:textId="77777777" w:rsidTr="004413BD">
        <w:trPr>
          <w:trHeight w:val="189"/>
        </w:trPr>
        <w:tc>
          <w:tcPr>
            <w:tcW w:w="6663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bottom"/>
          </w:tcPr>
          <w:p w14:paraId="47F5479B" w14:textId="77777777" w:rsidR="003326B4" w:rsidRPr="00D851EE" w:rsidRDefault="003326B4" w:rsidP="003326B4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D851EE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Ταμειακά διαθέσιμα και ισοδύναμα στο τέλος της χρήσης</w:t>
            </w:r>
            <w:r w:rsidRPr="00D851EE">
              <w:rPr>
                <w:rFonts w:cstheme="minorHAnsi"/>
                <w:b/>
                <w:bCs/>
                <w:color w:val="002677"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1559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27C8D5DC" w14:textId="2AEAF148" w:rsidR="003326B4" w:rsidRPr="003013E4" w:rsidRDefault="003326B4" w:rsidP="003326B4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val="en-US" w:eastAsia="el-GR"/>
              </w:rPr>
            </w:pPr>
            <w:r w:rsidRPr="00104189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814,4</w:t>
            </w:r>
          </w:p>
        </w:tc>
        <w:tc>
          <w:tcPr>
            <w:tcW w:w="1984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F0F3F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C11683" w14:textId="011C6279" w:rsidR="003326B4" w:rsidRPr="00CD45F6" w:rsidRDefault="004413BD" w:rsidP="004413BD">
            <w:pPr>
              <w:jc w:val="center"/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</w:pPr>
            <w:r w:rsidRPr="00CD45F6">
              <w:rPr>
                <w:rFonts w:eastAsia="Times New Roman" w:cstheme="minorHAnsi"/>
                <w:b/>
                <w:bCs/>
                <w:color w:val="002677"/>
                <w:sz w:val="22"/>
                <w:szCs w:val="22"/>
                <w:lang w:eastAsia="el-GR"/>
              </w:rPr>
              <w:t>841,9</w:t>
            </w:r>
          </w:p>
        </w:tc>
      </w:tr>
    </w:tbl>
    <w:p w14:paraId="26CA6E33" w14:textId="77777777" w:rsidR="00B7771D" w:rsidRPr="00B563F5" w:rsidRDefault="00B7771D" w:rsidP="00B7771D">
      <w:pPr>
        <w:jc w:val="both"/>
        <w:rPr>
          <w:rFonts w:cstheme="minorHAnsi"/>
          <w:color w:val="002677"/>
          <w:sz w:val="22"/>
          <w:szCs w:val="22"/>
          <w:lang w:val="el-GR"/>
        </w:rPr>
      </w:pPr>
    </w:p>
    <w:p w14:paraId="3EF274F7" w14:textId="77777777" w:rsidR="00B7771D" w:rsidRPr="00F11075" w:rsidRDefault="00B7771D" w:rsidP="00B7771D">
      <w:pPr>
        <w:jc w:val="both"/>
        <w:rPr>
          <w:rFonts w:cstheme="minorHAnsi"/>
          <w:color w:val="002677"/>
          <w:sz w:val="14"/>
          <w:szCs w:val="14"/>
          <w:lang w:val="el-GR"/>
        </w:rPr>
      </w:pPr>
      <w:r w:rsidRPr="00F11075">
        <w:rPr>
          <w:rFonts w:cstheme="minorHAnsi"/>
          <w:color w:val="002677"/>
          <w:sz w:val="14"/>
          <w:szCs w:val="14"/>
          <w:lang w:val="el-GR"/>
        </w:rPr>
        <w:t xml:space="preserve">Σημείωση: </w:t>
      </w:r>
    </w:p>
    <w:p w14:paraId="767E0AC8" w14:textId="77777777" w:rsidR="00B7771D" w:rsidRPr="00F11075" w:rsidRDefault="00B7771D" w:rsidP="00B7771D">
      <w:pPr>
        <w:jc w:val="both"/>
        <w:rPr>
          <w:rFonts w:cstheme="minorHAnsi"/>
          <w:color w:val="002677"/>
          <w:sz w:val="14"/>
          <w:szCs w:val="14"/>
          <w:lang w:val="el-GR"/>
        </w:rPr>
      </w:pPr>
      <w:r w:rsidRPr="00F11075">
        <w:rPr>
          <w:rFonts w:cstheme="minorHAnsi"/>
          <w:color w:val="002677"/>
          <w:sz w:val="14"/>
          <w:szCs w:val="14"/>
          <w:vertAlign w:val="superscript"/>
          <w:lang w:val="el-GR"/>
        </w:rPr>
        <w:t>1</w:t>
      </w:r>
      <w:r w:rsidRPr="00F11075">
        <w:rPr>
          <w:rFonts w:cstheme="minorHAnsi"/>
          <w:color w:val="002677"/>
          <w:sz w:val="14"/>
          <w:szCs w:val="14"/>
          <w:lang w:val="el-GR"/>
        </w:rPr>
        <w:t xml:space="preserve"> Περιλαμβάνει δεσμευμένες καταθέσεις και χρηματοοικονομικά περιουσιακά στοιχεία.</w:t>
      </w:r>
    </w:p>
    <w:p w14:paraId="5C709FCD" w14:textId="77777777" w:rsidR="00B7771D" w:rsidRPr="00F11075" w:rsidRDefault="00B7771D" w:rsidP="00B7771D">
      <w:pPr>
        <w:spacing w:after="120" w:line="276" w:lineRule="auto"/>
        <w:jc w:val="both"/>
        <w:rPr>
          <w:rFonts w:cstheme="minorHAnsi"/>
          <w:color w:val="002677"/>
          <w:sz w:val="14"/>
          <w:szCs w:val="14"/>
          <w:lang w:val="el-GR"/>
        </w:rPr>
      </w:pPr>
    </w:p>
    <w:p w14:paraId="060BC888" w14:textId="77777777" w:rsidR="006B2F6E" w:rsidRDefault="006B2F6E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51D76F0C" w14:textId="77777777" w:rsidR="00D47774" w:rsidRDefault="00D47774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09B9B447" w14:textId="77777777" w:rsidR="006B2F6E" w:rsidRPr="00255656" w:rsidRDefault="006B2F6E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23AD347" w14:textId="77777777" w:rsidR="004639FC" w:rsidRPr="00255656" w:rsidRDefault="004639FC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1386B959" w14:textId="77777777" w:rsidR="004639FC" w:rsidRPr="00255656" w:rsidRDefault="004639FC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22286A53" w14:textId="77777777" w:rsidR="004639FC" w:rsidRPr="00255656" w:rsidRDefault="004639FC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D61988E" w14:textId="77777777" w:rsidR="004639FC" w:rsidRPr="00255656" w:rsidRDefault="004639FC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l-GR"/>
        </w:rPr>
      </w:pPr>
    </w:p>
    <w:p w14:paraId="67AF7322" w14:textId="06133CEF" w:rsidR="00B7771D" w:rsidRPr="00110D68" w:rsidRDefault="00B7771D" w:rsidP="00B7771D">
      <w:pPr>
        <w:spacing w:after="120" w:line="276" w:lineRule="auto"/>
        <w:jc w:val="both"/>
        <w:rPr>
          <w:rFonts w:cstheme="minorHAnsi"/>
          <w:b/>
          <w:bCs/>
          <w:color w:val="002677"/>
          <w:sz w:val="22"/>
          <w:szCs w:val="22"/>
          <w:lang w:val="en-US"/>
        </w:rPr>
      </w:pPr>
      <w:r w:rsidRPr="00B563F5">
        <w:rPr>
          <w:rFonts w:cstheme="minorHAnsi"/>
          <w:b/>
          <w:bCs/>
          <w:color w:val="002677"/>
          <w:sz w:val="22"/>
          <w:szCs w:val="22"/>
          <w:lang w:val="en-US"/>
        </w:rPr>
        <w:t>Επιχειρησιακά μεγέθη Ομίλου</w:t>
      </w:r>
    </w:p>
    <w:tbl>
      <w:tblPr>
        <w:tblW w:w="10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707"/>
        <w:gridCol w:w="1381"/>
        <w:gridCol w:w="1270"/>
        <w:gridCol w:w="706"/>
      </w:tblGrid>
      <w:tr w:rsidR="00B7771D" w:rsidRPr="00B563F5" w14:paraId="228ADB8F" w14:textId="77777777" w:rsidTr="00A02125">
        <w:trPr>
          <w:trHeight w:val="4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0E0BC43" w14:textId="77777777" w:rsidR="00B7771D" w:rsidRPr="00B563F5" w:rsidRDefault="00B7771D" w:rsidP="00BE2482">
            <w:pPr>
              <w:rPr>
                <w:rFonts w:eastAsia="Times New Roman" w:cstheme="minorHAnsi"/>
                <w:color w:val="FFFFFF" w:themeColor="background1"/>
                <w:sz w:val="22"/>
                <w:szCs w:val="22"/>
                <w:lang w:val="en-US"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58A3392B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</w:t>
            </w:r>
          </w:p>
          <w:p w14:paraId="08D516DE" w14:textId="6B65D798" w:rsidR="00B7771D" w:rsidRPr="00012ADF" w:rsidRDefault="00B7771D" w:rsidP="00BE2482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71DAF9DE" w14:textId="307FB031" w:rsidR="00B7771D" w:rsidRPr="00B563F5" w:rsidRDefault="00B7771D" w:rsidP="00BE2482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Δεύτερο Τρίμηνο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78B0B4D4" w14:textId="77777777" w:rsidR="00B7771D" w:rsidRPr="00B563F5" w:rsidRDefault="00B7771D" w:rsidP="00BE2482">
            <w:pPr>
              <w:jc w:val="center"/>
              <w:rPr>
                <w:rFonts w:cstheme="minorHAnsi"/>
                <w:b/>
                <w:bCs/>
                <w:color w:val="FFFFFF" w:themeColor="background1"/>
                <w:kern w:val="24"/>
                <w:sz w:val="22"/>
                <w:szCs w:val="22"/>
                <w:lang w:val="en-US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2E161A89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2104B471" w14:textId="18B91059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4C8B0F25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>Πρώτο</w:t>
            </w:r>
          </w:p>
          <w:p w14:paraId="0DD0CBD9" w14:textId="4F16DDB3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Εξάμηνο 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202</w:t>
            </w:r>
            <w:r w:rsidR="00012ADF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002677"/>
            <w:vAlign w:val="center"/>
          </w:tcPr>
          <w:p w14:paraId="1E28E94C" w14:textId="77777777" w:rsidR="00B7771D" w:rsidRPr="00B563F5" w:rsidRDefault="00B7771D" w:rsidP="00BE2482">
            <w:pPr>
              <w:jc w:val="center"/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</w:pP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</w:rPr>
              <w:t>%</w:t>
            </w:r>
            <w:r w:rsidRPr="00B563F5">
              <w:rPr>
                <w:rFonts w:cstheme="minorHAnsi"/>
                <w:color w:val="FFFFFF" w:themeColor="background1"/>
                <w:kern w:val="24"/>
                <w:sz w:val="22"/>
                <w:szCs w:val="22"/>
                <w:lang w:val="el-GR"/>
              </w:rPr>
              <w:t xml:space="preserve"> μτβ</w:t>
            </w:r>
          </w:p>
        </w:tc>
      </w:tr>
      <w:tr w:rsidR="00B7771D" w:rsidRPr="00B563F5" w14:paraId="3C0F814B" w14:textId="77777777" w:rsidTr="00A02125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415B359" w14:textId="77777777" w:rsidR="00B7771D" w:rsidRPr="00B563F5" w:rsidRDefault="00B7771D" w:rsidP="00BE2482">
            <w:pPr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Χωρητικότητα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323B" w14:textId="77777777" w:rsidR="00B7771D" w:rsidRPr="00B563F5" w:rsidRDefault="00B7771D" w:rsidP="00BE2482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5D29AD31" w14:textId="77777777" w:rsidR="00B7771D" w:rsidRPr="00B563F5" w:rsidRDefault="00B7771D" w:rsidP="00BE2482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60DA4" w14:textId="77777777" w:rsidR="00B7771D" w:rsidRPr="00B563F5" w:rsidRDefault="00B7771D" w:rsidP="00BE2482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60213" w14:textId="77777777" w:rsidR="00B7771D" w:rsidRPr="00B563F5" w:rsidRDefault="00B7771D" w:rsidP="00BE2482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71AA8743" w14:textId="77777777" w:rsidR="00B7771D" w:rsidRPr="00B563F5" w:rsidRDefault="00B7771D" w:rsidP="00BE2482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18FD" w14:textId="77777777" w:rsidR="00B7771D" w:rsidRPr="00B563F5" w:rsidRDefault="00B7771D" w:rsidP="00BE2482">
            <w:pPr>
              <w:jc w:val="center"/>
              <w:textAlignment w:val="bottom"/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</w:p>
        </w:tc>
      </w:tr>
      <w:tr w:rsidR="005A6E00" w:rsidRPr="00B563F5" w14:paraId="14CC055E" w14:textId="77777777" w:rsidTr="006918D4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9DFFCDA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Χιλιομετρικές Θέσεις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(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σε εκατ.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1288" w14:textId="589CAF04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5.783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E77D55C" w14:textId="3FB2780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5.723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0D7C1" w14:textId="29FBDAC6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DCD5" w14:textId="511FCAE2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9.534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7CA1A96C" w14:textId="4AA481A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9.883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D9077" w14:textId="4C9E495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A6E00" w:rsidRPr="00B563F5" w14:paraId="31F7728F" w14:textId="77777777" w:rsidTr="006918D4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1F69C58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Διαθέσιμες Θέσεις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(‘000)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8DAD3" w14:textId="67B72F3F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5.395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464F980F" w14:textId="7FB5EF6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5.516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95542" w14:textId="6CD27114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8AEB4" w14:textId="6CCC67B6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8.944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3572EE42" w14:textId="20F9C4B6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9.374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B1CAA" w14:textId="7275B7F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</w:tr>
      <w:tr w:rsidR="005A6E00" w:rsidRPr="00B563F5" w14:paraId="4ACE2DBB" w14:textId="77777777" w:rsidTr="006918D4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CF2B8C1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Ώρες Πτήσεων (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n-US"/>
              </w:rPr>
              <w:t>Block hours)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6B808" w14:textId="208D3A7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59.501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44EEBE62" w14:textId="36D94AB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58.895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A8747" w14:textId="0EC147C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461D2" w14:textId="27956D09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97.807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36598384" w14:textId="4041664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100.923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72AB5" w14:textId="21C60BE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3%</w:t>
            </w:r>
          </w:p>
        </w:tc>
      </w:tr>
      <w:tr w:rsidR="005A6E00" w:rsidRPr="00B563F5" w14:paraId="00BC6E6D" w14:textId="77777777" w:rsidTr="006918D4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2BD3FD0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Πτήσεις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60973" w14:textId="1895DBB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34.915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46E5300F" w14:textId="46A1F18A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35.659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17A87" w14:textId="465A652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66708" w14:textId="097B102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57.590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2E5B7D84" w14:textId="0BFCE0A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60.093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B021B" w14:textId="66F3FC39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A6E00" w:rsidRPr="00B563F5" w14:paraId="41564B1E" w14:textId="77777777" w:rsidTr="006918D4">
        <w:trPr>
          <w:trHeight w:val="26"/>
        </w:trPr>
        <w:tc>
          <w:tcPr>
            <w:tcW w:w="3686" w:type="dxa"/>
            <w:tcBorders>
              <w:top w:val="nil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7E4E9F1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 Μέσος αριθμός θέσεων ανά πτήση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03EFB20D" w14:textId="19CEF75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1D8E4017" w14:textId="3F0AD672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bottom"/>
          </w:tcPr>
          <w:p w14:paraId="753D8200" w14:textId="0FB6EAE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vAlign w:val="bottom"/>
          </w:tcPr>
          <w:p w14:paraId="53B13D6C" w14:textId="513D21D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518E4927" w14:textId="0EE5DC0E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156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bottom"/>
          </w:tcPr>
          <w:p w14:paraId="5A992CBE" w14:textId="2CE0F04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</w:tr>
      <w:tr w:rsidR="005A6E00" w:rsidRPr="00B563F5" w14:paraId="50CEA242" w14:textId="77777777" w:rsidTr="006918D4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68C8C6D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 Μέση απόσταση πτήσεων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(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χλμ.)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78F3F2DB" w14:textId="4ABD8BE8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41B8C3C7" w14:textId="5FB34666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683B8BD2" w14:textId="5BF45B1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-4%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4F6FF205" w14:textId="39215D2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14A497E4" w14:textId="6C28FC32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0963B2CA" w14:textId="2E638AEE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</w:tr>
      <w:tr w:rsidR="00B7771D" w:rsidRPr="00B563F5" w14:paraId="758A762E" w14:textId="77777777" w:rsidTr="00A02125">
        <w:trPr>
          <w:trHeight w:val="26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2233A4A1" w14:textId="77777777" w:rsidR="00B7771D" w:rsidRPr="00B563F5" w:rsidRDefault="00B7771D" w:rsidP="00BE2482">
            <w:pPr>
              <w:rPr>
                <w:rFonts w:cstheme="minorHAnsi"/>
                <w:b/>
                <w:bCs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Επιβάτες</w:t>
            </w: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</w:rPr>
              <w:t xml:space="preserve"> (</w:t>
            </w: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  <w:lang w:val="el-GR"/>
              </w:rPr>
              <w:t>΄</w:t>
            </w:r>
            <w:r w:rsidRPr="00B563F5">
              <w:rPr>
                <w:rFonts w:cstheme="minorHAnsi"/>
                <w:b/>
                <w:bCs/>
                <w:color w:val="002677"/>
                <w:sz w:val="22"/>
                <w:szCs w:val="22"/>
              </w:rPr>
              <w:t>000)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323F887C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4A63C846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71070D5A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3698336D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0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07F9AEA6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center"/>
          </w:tcPr>
          <w:p w14:paraId="10ADC5D0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B7771D" w:rsidRPr="00B563F5" w14:paraId="2D20F4E0" w14:textId="77777777" w:rsidTr="00A02125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5BE4B6B3" w14:textId="77777777" w:rsidR="00B7771D" w:rsidRPr="00B563F5" w:rsidRDefault="00B7771D" w:rsidP="00BE2482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Ανά είδος πτήσεων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D1C2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2818EC6D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2C945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3455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center"/>
          </w:tcPr>
          <w:p w14:paraId="17C479AC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C7853" w14:textId="77777777" w:rsidR="00B7771D" w:rsidRPr="005A6E00" w:rsidRDefault="00B7771D" w:rsidP="00EA249E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A6E00" w:rsidRPr="00B563F5" w14:paraId="5D276A38" w14:textId="77777777" w:rsidTr="00AF24C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45EFE5A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n-US"/>
              </w:rPr>
              <w:t xml:space="preserve">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Επιβάτες Τακτικών πτήσεων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0BFC1" w14:textId="79ABC4DB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4.305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53D908A8" w14:textId="5B8E19C6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4.370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E020D" w14:textId="3F357D2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19194" w14:textId="039DDE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7.137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450AA0F9" w14:textId="04906FAE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7.433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E51DD" w14:textId="42995F7F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A6E00" w:rsidRPr="00B563F5" w14:paraId="1E7E3B96" w14:textId="77777777" w:rsidTr="00AF24C9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C22C581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Επιβάτες Ναυλωμένων πτήσεων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FB390" w14:textId="1831773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28988304" w14:textId="3B0E5CC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109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6F2E9" w14:textId="074ABF9E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14%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D945" w14:textId="48694DC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1F8F307" w14:textId="4262D23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0078B" w14:textId="77DD9F7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16%</w:t>
            </w:r>
          </w:p>
        </w:tc>
      </w:tr>
      <w:tr w:rsidR="005A6E00" w:rsidRPr="00B563F5" w14:paraId="590E40F2" w14:textId="77777777" w:rsidTr="001105A6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BC0BD09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Ανά δίκτυο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0F06A" w14:textId="777777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76B3ECF1" w14:textId="777777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5E2F7" w14:textId="777777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12307" w14:textId="777777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4C19A2C7" w14:textId="777777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680F7" w14:textId="7777777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</w:p>
        </w:tc>
      </w:tr>
      <w:tr w:rsidR="005A6E00" w:rsidRPr="00B563F5" w14:paraId="776E7514" w14:textId="77777777" w:rsidTr="00A71348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2DE6D1E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Δίκτυο Εσωτερικού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CC45" w14:textId="06CC8A7B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1.814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580571FE" w14:textId="618CDA3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1.912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31216" w14:textId="4DB78FB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9B6A5" w14:textId="4E32DB7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2.956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32B0E449" w14:textId="7798F2FA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3.092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2803D" w14:textId="592BFC2B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5%</w:t>
            </w:r>
          </w:p>
        </w:tc>
      </w:tr>
      <w:tr w:rsidR="005A6E00" w:rsidRPr="00B563F5" w14:paraId="47FF9F60" w14:textId="77777777" w:rsidTr="00A71348">
        <w:trPr>
          <w:trHeight w:val="26"/>
        </w:trPr>
        <w:tc>
          <w:tcPr>
            <w:tcW w:w="3686" w:type="dxa"/>
            <w:tcBorders>
              <w:top w:val="nil"/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38E870F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</w:rPr>
              <w:t xml:space="preserve">  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>Δίκτυο Εξωτερικού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6DE041F5" w14:textId="4FE8AF4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2.586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4F4F4957" w14:textId="6362642A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2.567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bottom"/>
          </w:tcPr>
          <w:p w14:paraId="2FBD79D4" w14:textId="15D5E95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vAlign w:val="bottom"/>
          </w:tcPr>
          <w:p w14:paraId="12F79116" w14:textId="4FE96FC8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4.300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EEF1F8"/>
            <w:vAlign w:val="bottom"/>
          </w:tcPr>
          <w:p w14:paraId="3E85AF04" w14:textId="39B97A75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4.480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bottom"/>
          </w:tcPr>
          <w:p w14:paraId="299804DF" w14:textId="3F4E468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A6E00" w:rsidRPr="00B563F5" w14:paraId="24CB960C" w14:textId="77777777" w:rsidTr="00A71348">
        <w:trPr>
          <w:trHeight w:val="26"/>
        </w:trPr>
        <w:tc>
          <w:tcPr>
            <w:tcW w:w="3686" w:type="dxa"/>
            <w:tcBorders>
              <w:left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49200D7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Σύνολο επιβατών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036FF36" w14:textId="328E4FE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38E9A2EB" w14:textId="35F6B62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4.479</w:t>
            </w:r>
          </w:p>
        </w:tc>
        <w:tc>
          <w:tcPr>
            <w:tcW w:w="707" w:type="dxa"/>
            <w:tcBorders>
              <w:left w:val="nil"/>
              <w:right w:val="nil"/>
            </w:tcBorders>
            <w:vAlign w:val="bottom"/>
          </w:tcPr>
          <w:p w14:paraId="761BE536" w14:textId="60EF6629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2%</w:t>
            </w:r>
          </w:p>
        </w:tc>
        <w:tc>
          <w:tcPr>
            <w:tcW w:w="1381" w:type="dxa"/>
            <w:tcBorders>
              <w:left w:val="nil"/>
              <w:right w:val="nil"/>
            </w:tcBorders>
            <w:vAlign w:val="bottom"/>
          </w:tcPr>
          <w:p w14:paraId="273552A3" w14:textId="3AFF0C51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7.256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EEF1F8"/>
            <w:vAlign w:val="bottom"/>
          </w:tcPr>
          <w:p w14:paraId="43B0012B" w14:textId="3B39F2D9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7.572</w:t>
            </w:r>
          </w:p>
        </w:tc>
        <w:tc>
          <w:tcPr>
            <w:tcW w:w="706" w:type="dxa"/>
            <w:tcBorders>
              <w:left w:val="nil"/>
              <w:right w:val="nil"/>
            </w:tcBorders>
            <w:vAlign w:val="bottom"/>
          </w:tcPr>
          <w:p w14:paraId="5229B32D" w14:textId="0E0F110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4%</w:t>
            </w:r>
          </w:p>
        </w:tc>
      </w:tr>
      <w:tr w:rsidR="005A6E00" w:rsidRPr="00B563F5" w14:paraId="6BD4DE47" w14:textId="77777777" w:rsidTr="00A71348">
        <w:trPr>
          <w:trHeight w:val="26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14815E3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Χιλιομετρικοί επιβάτες </w:t>
            </w:r>
            <w:r w:rsidRPr="00B563F5">
              <w:rPr>
                <w:rFonts w:cstheme="minorHAnsi"/>
                <w:color w:val="002677"/>
                <w:sz w:val="22"/>
                <w:szCs w:val="22"/>
              </w:rPr>
              <w:t>RPKs</w:t>
            </w:r>
            <w:r w:rsidRPr="00B563F5">
              <w:rPr>
                <w:rFonts w:cstheme="minorHAnsi"/>
                <w:color w:val="002677"/>
                <w:sz w:val="22"/>
                <w:szCs w:val="22"/>
                <w:lang w:val="el-GR"/>
              </w:rPr>
              <w:t xml:space="preserve"> (σε εκατ.)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14:paraId="357C82E7" w14:textId="5457AEAF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4.688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4B69ECE" w14:textId="0AD3002B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4.656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vAlign w:val="bottom"/>
          </w:tcPr>
          <w:p w14:paraId="6CF6F1DE" w14:textId="0DF78FB9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-1%</w:t>
            </w: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  <w:vAlign w:val="bottom"/>
          </w:tcPr>
          <w:p w14:paraId="58A9B1DB" w14:textId="6934A73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7.745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01190118" w14:textId="00C86F42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7.999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vAlign w:val="bottom"/>
          </w:tcPr>
          <w:p w14:paraId="374BA3BA" w14:textId="348AFBC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3%</w:t>
            </w:r>
          </w:p>
        </w:tc>
      </w:tr>
      <w:tr w:rsidR="005A6E00" w:rsidRPr="00B563F5" w14:paraId="04F16CC7" w14:textId="77777777" w:rsidTr="00A71348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0602893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Μέσος αριθμός επιβατών ανά πτήση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64018710" w14:textId="5ADB42B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29A74DBA" w14:textId="3DFAD3E4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125D950A" w14:textId="3717187F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2B2B6A84" w14:textId="66D5FFB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3BA2012D" w14:textId="4BD73A09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126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5113F02A" w14:textId="43B6A80A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0%</w:t>
            </w:r>
          </w:p>
        </w:tc>
      </w:tr>
      <w:tr w:rsidR="005A6E00" w:rsidRPr="00B563F5" w14:paraId="3837C098" w14:textId="77777777" w:rsidTr="00A71348">
        <w:trPr>
          <w:trHeight w:val="26"/>
        </w:trPr>
        <w:tc>
          <w:tcPr>
            <w:tcW w:w="368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CE6C8E3" w14:textId="77777777" w:rsidR="005A6E00" w:rsidRPr="00B563F5" w:rsidRDefault="005A6E00" w:rsidP="005A6E0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 Τακτικές Πτήσεις</w:t>
            </w:r>
          </w:p>
          <w:p w14:paraId="7CB587F3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(Επιβάτες/Διαθέσιμες Θέσεις)</w:t>
            </w:r>
          </w:p>
        </w:tc>
        <w:tc>
          <w:tcPr>
            <w:tcW w:w="141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bottom"/>
          </w:tcPr>
          <w:p w14:paraId="5B2D6D29" w14:textId="1AAB49F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81,8%</w:t>
            </w:r>
          </w:p>
        </w:tc>
        <w:tc>
          <w:tcPr>
            <w:tcW w:w="127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78C1AFB5" w14:textId="5BA6E7B7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707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bottom"/>
          </w:tcPr>
          <w:p w14:paraId="397EAF96" w14:textId="7AEB860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-0,4pp</w:t>
            </w:r>
          </w:p>
        </w:tc>
        <w:tc>
          <w:tcPr>
            <w:tcW w:w="1381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bottom"/>
          </w:tcPr>
          <w:p w14:paraId="4C22D8A5" w14:textId="3B5A360E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81,3%</w:t>
            </w:r>
          </w:p>
        </w:tc>
        <w:tc>
          <w:tcPr>
            <w:tcW w:w="1270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shd w:val="clear" w:color="auto" w:fill="EEF1F8"/>
            <w:vAlign w:val="bottom"/>
          </w:tcPr>
          <w:p w14:paraId="6FDE12E5" w14:textId="2498CD25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81,0%</w:t>
            </w:r>
          </w:p>
        </w:tc>
        <w:tc>
          <w:tcPr>
            <w:tcW w:w="706" w:type="dxa"/>
            <w:tcBorders>
              <w:top w:val="single" w:sz="4" w:space="0" w:color="1F3864" w:themeColor="accent1" w:themeShade="80"/>
              <w:left w:val="nil"/>
              <w:bottom w:val="nil"/>
              <w:right w:val="nil"/>
            </w:tcBorders>
            <w:vAlign w:val="bottom"/>
          </w:tcPr>
          <w:p w14:paraId="3587DD0B" w14:textId="24FA5CA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-0,4pp</w:t>
            </w:r>
          </w:p>
        </w:tc>
      </w:tr>
      <w:tr w:rsidR="005A6E00" w:rsidRPr="00B563F5" w14:paraId="3FE0589D" w14:textId="77777777" w:rsidTr="00A71348">
        <w:trPr>
          <w:trHeight w:val="26"/>
        </w:trPr>
        <w:tc>
          <w:tcPr>
            <w:tcW w:w="368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4DE459A4" w14:textId="77777777" w:rsidR="005A6E00" w:rsidRPr="00B563F5" w:rsidRDefault="005A6E00" w:rsidP="005A6E00">
            <w:pPr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Συντελεστής Πληρότητας- Τακτικές πτήσεις</w:t>
            </w:r>
          </w:p>
          <w:p w14:paraId="4C4FBAED" w14:textId="77777777" w:rsidR="005A6E00" w:rsidRPr="00B563F5" w:rsidRDefault="005A6E00" w:rsidP="005A6E00">
            <w:pPr>
              <w:rPr>
                <w:rFonts w:cstheme="minorHAnsi"/>
                <w:color w:val="002677"/>
                <w:sz w:val="22"/>
                <w:szCs w:val="22"/>
                <w:lang w:val="el-GR"/>
              </w:rPr>
            </w:pP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(Χιλιομετρικοί επιβάτες 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RPK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 xml:space="preserve">/ Χιλιομετρικές Θέσεις 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ASK</w:t>
            </w:r>
            <w:r w:rsidRPr="00B563F5">
              <w:rPr>
                <w:rFonts w:eastAsia="Times New Roman" w:cstheme="minorHAnsi"/>
                <w:color w:val="002677"/>
                <w:sz w:val="22"/>
                <w:szCs w:val="22"/>
                <w:lang w:val="el-GR" w:eastAsia="el-G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29C2E17A" w14:textId="359946C0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3450D4D2" w14:textId="1B6FB33C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1C014B6A" w14:textId="38E8494D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0,3pp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78B6F427" w14:textId="33EF3185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EEF1F8"/>
            <w:vAlign w:val="bottom"/>
          </w:tcPr>
          <w:p w14:paraId="1DC1636C" w14:textId="41C28466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81,1%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vAlign w:val="bottom"/>
          </w:tcPr>
          <w:p w14:paraId="1F0FE567" w14:textId="5CAC4953" w:rsidR="005A6E00" w:rsidRPr="005A6E00" w:rsidRDefault="005A6E00" w:rsidP="005A6E00">
            <w:pPr>
              <w:jc w:val="center"/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</w:pPr>
            <w:r w:rsidRPr="005A6E00">
              <w:rPr>
                <w:rFonts w:eastAsia="Times New Roman" w:cstheme="minorHAnsi"/>
                <w:color w:val="002677"/>
                <w:sz w:val="22"/>
                <w:szCs w:val="22"/>
                <w:lang w:eastAsia="el-GR"/>
              </w:rPr>
              <w:t>-0,3pp</w:t>
            </w:r>
          </w:p>
        </w:tc>
      </w:tr>
    </w:tbl>
    <w:p w14:paraId="08A083DA" w14:textId="408A55FE" w:rsidR="00B7771D" w:rsidRPr="00712BB0" w:rsidRDefault="00B7771D" w:rsidP="00F11075">
      <w:pPr>
        <w:spacing w:line="180" w:lineRule="exact"/>
        <w:jc w:val="both"/>
        <w:rPr>
          <w:rFonts w:cstheme="minorHAnsi"/>
          <w:color w:val="002677"/>
          <w:sz w:val="14"/>
          <w:szCs w:val="14"/>
          <w:lang w:val="en-US"/>
        </w:rPr>
      </w:pPr>
    </w:p>
    <w:p w14:paraId="7BDAB61A" w14:textId="77777777" w:rsidR="00B7771D" w:rsidRDefault="00B7771D" w:rsidP="000C7153">
      <w:pPr>
        <w:spacing w:line="276" w:lineRule="auto"/>
        <w:rPr>
          <w:rFonts w:cstheme="minorHAnsi"/>
          <w:color w:val="002677"/>
          <w:sz w:val="22"/>
          <w:szCs w:val="22"/>
          <w:lang w:val="el-GR"/>
        </w:rPr>
      </w:pPr>
    </w:p>
    <w:sectPr w:rsidR="00B7771D" w:rsidSect="00647256">
      <w:headerReference w:type="default" r:id="rId11"/>
      <w:footerReference w:type="default" r:id="rId12"/>
      <w:pgSz w:w="11900" w:h="16840"/>
      <w:pgMar w:top="2977" w:right="985" w:bottom="567" w:left="851" w:header="851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6DDE" w14:textId="77777777" w:rsidR="00D270E7" w:rsidRDefault="00D270E7" w:rsidP="003C1020">
      <w:r>
        <w:separator/>
      </w:r>
    </w:p>
  </w:endnote>
  <w:endnote w:type="continuationSeparator" w:id="0">
    <w:p w14:paraId="3BF20E4A" w14:textId="77777777" w:rsidR="00D270E7" w:rsidRDefault="00D270E7" w:rsidP="003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URW Geometric Ext Extra Light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0D2B" w14:textId="77777777" w:rsidR="001A312E" w:rsidRDefault="001A312E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</w:p>
  <w:p w14:paraId="7D040116" w14:textId="77777777" w:rsidR="001A312E" w:rsidRPr="006622B2" w:rsidRDefault="001A312E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  <w:r>
      <w:rPr>
        <w:rFonts w:ascii="URW Geometric Ext Extra Light" w:hAnsi="URW Geometric Ext Extra Light"/>
        <w:noProof/>
        <w:color w:val="243587"/>
        <w:sz w:val="16"/>
        <w:szCs w:val="16"/>
      </w:rPr>
      <w:drawing>
        <wp:inline distT="0" distB="0" distL="0" distR="0" wp14:anchorId="1BBC4AB4" wp14:editId="218A98FC">
          <wp:extent cx="6475730" cy="446498"/>
          <wp:effectExtent l="0" t="0" r="1270" b="0"/>
          <wp:docPr id="1121804814" name="Picture 1121804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44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E4577">
      <w:rPr>
        <w:rFonts w:ascii="URW Geometric Ext Extra Light" w:hAnsi="URW Geometric Ext Extra Light"/>
        <w:color w:val="243587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F575" w14:textId="77777777" w:rsidR="00D270E7" w:rsidRDefault="00D270E7" w:rsidP="003C1020">
      <w:r>
        <w:separator/>
      </w:r>
    </w:p>
  </w:footnote>
  <w:footnote w:type="continuationSeparator" w:id="0">
    <w:p w14:paraId="4E98A079" w14:textId="77777777" w:rsidR="00D270E7" w:rsidRDefault="00D270E7" w:rsidP="003C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9041" w14:textId="77777777" w:rsidR="001A312E" w:rsidRPr="00DE4577" w:rsidRDefault="001A312E">
    <w:pPr>
      <w:pStyle w:val="Header"/>
    </w:pPr>
    <w:r>
      <w:rPr>
        <w:noProof/>
        <w:lang w:val="el-GR" w:eastAsia="el-GR"/>
      </w:rPr>
      <w:drawing>
        <wp:inline distT="0" distB="0" distL="0" distR="0" wp14:anchorId="77918BBC" wp14:editId="25AA9253">
          <wp:extent cx="6362835" cy="358775"/>
          <wp:effectExtent l="0" t="0" r="0" b="3175"/>
          <wp:docPr id="1719384590" name="Picture 171938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4078" cy="38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072"/>
    <w:multiLevelType w:val="hybridMultilevel"/>
    <w:tmpl w:val="7632C064"/>
    <w:lvl w:ilvl="0" w:tplc="0408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A8C2E84"/>
    <w:multiLevelType w:val="hybridMultilevel"/>
    <w:tmpl w:val="BE7667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AE0"/>
    <w:multiLevelType w:val="hybridMultilevel"/>
    <w:tmpl w:val="E050E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1794"/>
    <w:multiLevelType w:val="hybridMultilevel"/>
    <w:tmpl w:val="A956C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2D5D"/>
    <w:multiLevelType w:val="hybridMultilevel"/>
    <w:tmpl w:val="2AF20F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4083">
    <w:abstractNumId w:val="0"/>
  </w:num>
  <w:num w:numId="2" w16cid:durableId="2040861234">
    <w:abstractNumId w:val="0"/>
  </w:num>
  <w:num w:numId="3" w16cid:durableId="1396204223">
    <w:abstractNumId w:val="4"/>
  </w:num>
  <w:num w:numId="4" w16cid:durableId="747582667">
    <w:abstractNumId w:val="2"/>
  </w:num>
  <w:num w:numId="5" w16cid:durableId="1009018605">
    <w:abstractNumId w:val="1"/>
  </w:num>
  <w:num w:numId="6" w16cid:durableId="80080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20"/>
    <w:rsid w:val="00001381"/>
    <w:rsid w:val="0000152F"/>
    <w:rsid w:val="00002F56"/>
    <w:rsid w:val="0000394A"/>
    <w:rsid w:val="00004B22"/>
    <w:rsid w:val="000077AD"/>
    <w:rsid w:val="00007D51"/>
    <w:rsid w:val="00010195"/>
    <w:rsid w:val="00012ADF"/>
    <w:rsid w:val="00013B63"/>
    <w:rsid w:val="00013D46"/>
    <w:rsid w:val="0001531C"/>
    <w:rsid w:val="00015D6B"/>
    <w:rsid w:val="000162E1"/>
    <w:rsid w:val="00017A3C"/>
    <w:rsid w:val="00021922"/>
    <w:rsid w:val="00023D80"/>
    <w:rsid w:val="00030AF5"/>
    <w:rsid w:val="00031A4F"/>
    <w:rsid w:val="00031D54"/>
    <w:rsid w:val="00035F5C"/>
    <w:rsid w:val="00041A13"/>
    <w:rsid w:val="0004557C"/>
    <w:rsid w:val="00055167"/>
    <w:rsid w:val="000605BD"/>
    <w:rsid w:val="000625B4"/>
    <w:rsid w:val="000632A7"/>
    <w:rsid w:val="00067ACF"/>
    <w:rsid w:val="00067C83"/>
    <w:rsid w:val="0007373A"/>
    <w:rsid w:val="00074432"/>
    <w:rsid w:val="00076DE9"/>
    <w:rsid w:val="00077525"/>
    <w:rsid w:val="000801F0"/>
    <w:rsid w:val="00080AFE"/>
    <w:rsid w:val="00080B40"/>
    <w:rsid w:val="00082C95"/>
    <w:rsid w:val="00082DE5"/>
    <w:rsid w:val="00087FCF"/>
    <w:rsid w:val="00090380"/>
    <w:rsid w:val="00091CA7"/>
    <w:rsid w:val="0009319E"/>
    <w:rsid w:val="00093401"/>
    <w:rsid w:val="00094DBC"/>
    <w:rsid w:val="0009567F"/>
    <w:rsid w:val="000969F7"/>
    <w:rsid w:val="000A0C2F"/>
    <w:rsid w:val="000A7257"/>
    <w:rsid w:val="000B2BC7"/>
    <w:rsid w:val="000B3FD3"/>
    <w:rsid w:val="000B60D7"/>
    <w:rsid w:val="000C7153"/>
    <w:rsid w:val="000D1651"/>
    <w:rsid w:val="000D2821"/>
    <w:rsid w:val="000D2E1C"/>
    <w:rsid w:val="000D4123"/>
    <w:rsid w:val="000D51CF"/>
    <w:rsid w:val="000D7544"/>
    <w:rsid w:val="000D764A"/>
    <w:rsid w:val="000E0A39"/>
    <w:rsid w:val="000E1380"/>
    <w:rsid w:val="000E1BA2"/>
    <w:rsid w:val="000E1CD6"/>
    <w:rsid w:val="000E2DCA"/>
    <w:rsid w:val="000E67CB"/>
    <w:rsid w:val="000E6AEA"/>
    <w:rsid w:val="000E7781"/>
    <w:rsid w:val="000F1DDA"/>
    <w:rsid w:val="000F257E"/>
    <w:rsid w:val="000F2855"/>
    <w:rsid w:val="000F4B80"/>
    <w:rsid w:val="001025D8"/>
    <w:rsid w:val="00104189"/>
    <w:rsid w:val="00105AB8"/>
    <w:rsid w:val="00106149"/>
    <w:rsid w:val="0010745C"/>
    <w:rsid w:val="00110D68"/>
    <w:rsid w:val="00111EA5"/>
    <w:rsid w:val="00111EC0"/>
    <w:rsid w:val="00112C52"/>
    <w:rsid w:val="00115557"/>
    <w:rsid w:val="00116ED8"/>
    <w:rsid w:val="00117938"/>
    <w:rsid w:val="00120983"/>
    <w:rsid w:val="001257B4"/>
    <w:rsid w:val="00125B8F"/>
    <w:rsid w:val="00131F9F"/>
    <w:rsid w:val="0013314D"/>
    <w:rsid w:val="0013524C"/>
    <w:rsid w:val="001373DF"/>
    <w:rsid w:val="001421D0"/>
    <w:rsid w:val="001544DD"/>
    <w:rsid w:val="00161D7C"/>
    <w:rsid w:val="00164B85"/>
    <w:rsid w:val="001652A8"/>
    <w:rsid w:val="001676C7"/>
    <w:rsid w:val="00170B82"/>
    <w:rsid w:val="00171545"/>
    <w:rsid w:val="00171AFC"/>
    <w:rsid w:val="00175CDE"/>
    <w:rsid w:val="00176238"/>
    <w:rsid w:val="001768DB"/>
    <w:rsid w:val="00181D09"/>
    <w:rsid w:val="001827C8"/>
    <w:rsid w:val="001848C4"/>
    <w:rsid w:val="00193535"/>
    <w:rsid w:val="00193C46"/>
    <w:rsid w:val="001A312E"/>
    <w:rsid w:val="001A327E"/>
    <w:rsid w:val="001A46AF"/>
    <w:rsid w:val="001A6B77"/>
    <w:rsid w:val="001B1BDA"/>
    <w:rsid w:val="001B289C"/>
    <w:rsid w:val="001B3B9D"/>
    <w:rsid w:val="001B3BD0"/>
    <w:rsid w:val="001B3C35"/>
    <w:rsid w:val="001B5623"/>
    <w:rsid w:val="001C104A"/>
    <w:rsid w:val="001C281C"/>
    <w:rsid w:val="001C3CF2"/>
    <w:rsid w:val="001C4787"/>
    <w:rsid w:val="001C54D4"/>
    <w:rsid w:val="001D095E"/>
    <w:rsid w:val="001D169F"/>
    <w:rsid w:val="001D39CA"/>
    <w:rsid w:val="001D443F"/>
    <w:rsid w:val="001E1D53"/>
    <w:rsid w:val="001E2CD7"/>
    <w:rsid w:val="001E6228"/>
    <w:rsid w:val="001E661A"/>
    <w:rsid w:val="001E6AFD"/>
    <w:rsid w:val="001F3962"/>
    <w:rsid w:val="001F4CE7"/>
    <w:rsid w:val="001F6C1D"/>
    <w:rsid w:val="00200CF7"/>
    <w:rsid w:val="00204DF2"/>
    <w:rsid w:val="00205AD6"/>
    <w:rsid w:val="00211A6F"/>
    <w:rsid w:val="002138E4"/>
    <w:rsid w:val="00220586"/>
    <w:rsid w:val="0022077D"/>
    <w:rsid w:val="00220C4D"/>
    <w:rsid w:val="00223984"/>
    <w:rsid w:val="00225665"/>
    <w:rsid w:val="00226DD7"/>
    <w:rsid w:val="00230D15"/>
    <w:rsid w:val="00232ACD"/>
    <w:rsid w:val="002331F7"/>
    <w:rsid w:val="002379F0"/>
    <w:rsid w:val="00241DA2"/>
    <w:rsid w:val="00241FB8"/>
    <w:rsid w:val="002456D8"/>
    <w:rsid w:val="00247099"/>
    <w:rsid w:val="00247E10"/>
    <w:rsid w:val="002531E4"/>
    <w:rsid w:val="00255656"/>
    <w:rsid w:val="0025579A"/>
    <w:rsid w:val="002576FD"/>
    <w:rsid w:val="00265AE8"/>
    <w:rsid w:val="00270C0A"/>
    <w:rsid w:val="002719A5"/>
    <w:rsid w:val="00272C7D"/>
    <w:rsid w:val="00273622"/>
    <w:rsid w:val="002737D1"/>
    <w:rsid w:val="00274703"/>
    <w:rsid w:val="00275583"/>
    <w:rsid w:val="00280598"/>
    <w:rsid w:val="00280F05"/>
    <w:rsid w:val="00283C5A"/>
    <w:rsid w:val="00291834"/>
    <w:rsid w:val="002936ED"/>
    <w:rsid w:val="002938A6"/>
    <w:rsid w:val="0029421E"/>
    <w:rsid w:val="00294813"/>
    <w:rsid w:val="0029520C"/>
    <w:rsid w:val="00297CE5"/>
    <w:rsid w:val="00297CE8"/>
    <w:rsid w:val="002A0845"/>
    <w:rsid w:val="002A2CB7"/>
    <w:rsid w:val="002A3204"/>
    <w:rsid w:val="002A43B8"/>
    <w:rsid w:val="002A6638"/>
    <w:rsid w:val="002A6750"/>
    <w:rsid w:val="002B0AAA"/>
    <w:rsid w:val="002B3985"/>
    <w:rsid w:val="002B3AAF"/>
    <w:rsid w:val="002B40D3"/>
    <w:rsid w:val="002B41F2"/>
    <w:rsid w:val="002B6FDC"/>
    <w:rsid w:val="002B728D"/>
    <w:rsid w:val="002C4D48"/>
    <w:rsid w:val="002C57CB"/>
    <w:rsid w:val="002C73F8"/>
    <w:rsid w:val="002C79AE"/>
    <w:rsid w:val="002C7F7F"/>
    <w:rsid w:val="002D1A5A"/>
    <w:rsid w:val="002D4019"/>
    <w:rsid w:val="002D6F37"/>
    <w:rsid w:val="002E1D99"/>
    <w:rsid w:val="002E30F8"/>
    <w:rsid w:val="002E31DB"/>
    <w:rsid w:val="002E3D8C"/>
    <w:rsid w:val="002E4F03"/>
    <w:rsid w:val="002F1F61"/>
    <w:rsid w:val="002F5260"/>
    <w:rsid w:val="002F5D75"/>
    <w:rsid w:val="002F6D50"/>
    <w:rsid w:val="003013E4"/>
    <w:rsid w:val="00305EAC"/>
    <w:rsid w:val="0030642B"/>
    <w:rsid w:val="00306859"/>
    <w:rsid w:val="00313A0E"/>
    <w:rsid w:val="00314046"/>
    <w:rsid w:val="003202E3"/>
    <w:rsid w:val="00320C67"/>
    <w:rsid w:val="003238BA"/>
    <w:rsid w:val="00325992"/>
    <w:rsid w:val="00327820"/>
    <w:rsid w:val="00332499"/>
    <w:rsid w:val="003326B4"/>
    <w:rsid w:val="003331FE"/>
    <w:rsid w:val="00334E22"/>
    <w:rsid w:val="003403C6"/>
    <w:rsid w:val="003408B5"/>
    <w:rsid w:val="00341624"/>
    <w:rsid w:val="00341ADD"/>
    <w:rsid w:val="003450DF"/>
    <w:rsid w:val="00353081"/>
    <w:rsid w:val="00353211"/>
    <w:rsid w:val="00353AA1"/>
    <w:rsid w:val="00353F88"/>
    <w:rsid w:val="003559DB"/>
    <w:rsid w:val="00355FBE"/>
    <w:rsid w:val="00356E26"/>
    <w:rsid w:val="00357A5F"/>
    <w:rsid w:val="0036013C"/>
    <w:rsid w:val="00360D58"/>
    <w:rsid w:val="00365368"/>
    <w:rsid w:val="0036750B"/>
    <w:rsid w:val="0036785E"/>
    <w:rsid w:val="00367EF3"/>
    <w:rsid w:val="0037220B"/>
    <w:rsid w:val="00372915"/>
    <w:rsid w:val="00375D8F"/>
    <w:rsid w:val="00377763"/>
    <w:rsid w:val="003822A7"/>
    <w:rsid w:val="00390AAF"/>
    <w:rsid w:val="00392611"/>
    <w:rsid w:val="00395B22"/>
    <w:rsid w:val="00396A25"/>
    <w:rsid w:val="00396F89"/>
    <w:rsid w:val="00396F96"/>
    <w:rsid w:val="003A2AB0"/>
    <w:rsid w:val="003A35DE"/>
    <w:rsid w:val="003A64DA"/>
    <w:rsid w:val="003B0B52"/>
    <w:rsid w:val="003B3C32"/>
    <w:rsid w:val="003B5E1F"/>
    <w:rsid w:val="003C1020"/>
    <w:rsid w:val="003C1C87"/>
    <w:rsid w:val="003C24C7"/>
    <w:rsid w:val="003C3662"/>
    <w:rsid w:val="003C45E0"/>
    <w:rsid w:val="003D0A29"/>
    <w:rsid w:val="003D0AD7"/>
    <w:rsid w:val="003D1A72"/>
    <w:rsid w:val="003D28AF"/>
    <w:rsid w:val="003D4017"/>
    <w:rsid w:val="003D7717"/>
    <w:rsid w:val="003E4E42"/>
    <w:rsid w:val="003E54FA"/>
    <w:rsid w:val="003F1044"/>
    <w:rsid w:val="003F2BC8"/>
    <w:rsid w:val="003F7BBB"/>
    <w:rsid w:val="004018B1"/>
    <w:rsid w:val="004025E4"/>
    <w:rsid w:val="00403E18"/>
    <w:rsid w:val="00406598"/>
    <w:rsid w:val="00407E90"/>
    <w:rsid w:val="00411D41"/>
    <w:rsid w:val="00411D82"/>
    <w:rsid w:val="004127C6"/>
    <w:rsid w:val="004131AA"/>
    <w:rsid w:val="0042144D"/>
    <w:rsid w:val="00424D5B"/>
    <w:rsid w:val="004263E8"/>
    <w:rsid w:val="0042712E"/>
    <w:rsid w:val="00432711"/>
    <w:rsid w:val="0043454E"/>
    <w:rsid w:val="004413BD"/>
    <w:rsid w:val="00441754"/>
    <w:rsid w:val="00442737"/>
    <w:rsid w:val="00446C10"/>
    <w:rsid w:val="00446DB9"/>
    <w:rsid w:val="00447184"/>
    <w:rsid w:val="0045034B"/>
    <w:rsid w:val="0045135F"/>
    <w:rsid w:val="00455E8E"/>
    <w:rsid w:val="004614EE"/>
    <w:rsid w:val="004622B0"/>
    <w:rsid w:val="004639FC"/>
    <w:rsid w:val="00467E3D"/>
    <w:rsid w:val="00471865"/>
    <w:rsid w:val="00471E8C"/>
    <w:rsid w:val="00472C98"/>
    <w:rsid w:val="00473602"/>
    <w:rsid w:val="00473FBE"/>
    <w:rsid w:val="00474105"/>
    <w:rsid w:val="004757EF"/>
    <w:rsid w:val="00477311"/>
    <w:rsid w:val="004807FF"/>
    <w:rsid w:val="00482A59"/>
    <w:rsid w:val="00483335"/>
    <w:rsid w:val="00483450"/>
    <w:rsid w:val="00490EF7"/>
    <w:rsid w:val="0049672F"/>
    <w:rsid w:val="00497CE3"/>
    <w:rsid w:val="004A01C8"/>
    <w:rsid w:val="004B3712"/>
    <w:rsid w:val="004B3765"/>
    <w:rsid w:val="004C06C6"/>
    <w:rsid w:val="004C27CB"/>
    <w:rsid w:val="004C4EBC"/>
    <w:rsid w:val="004D0409"/>
    <w:rsid w:val="004D0CD6"/>
    <w:rsid w:val="004D1437"/>
    <w:rsid w:val="004D1D96"/>
    <w:rsid w:val="004D52A5"/>
    <w:rsid w:val="004D72B4"/>
    <w:rsid w:val="004E1523"/>
    <w:rsid w:val="004E28AB"/>
    <w:rsid w:val="004E30D4"/>
    <w:rsid w:val="004E4335"/>
    <w:rsid w:val="004E5856"/>
    <w:rsid w:val="004E5A6D"/>
    <w:rsid w:val="004E6719"/>
    <w:rsid w:val="004E6863"/>
    <w:rsid w:val="004F5D1B"/>
    <w:rsid w:val="004F5F5D"/>
    <w:rsid w:val="004F6A34"/>
    <w:rsid w:val="004F74C6"/>
    <w:rsid w:val="005007B3"/>
    <w:rsid w:val="00501F91"/>
    <w:rsid w:val="0050202B"/>
    <w:rsid w:val="005026A0"/>
    <w:rsid w:val="00503868"/>
    <w:rsid w:val="005051D9"/>
    <w:rsid w:val="00507A3C"/>
    <w:rsid w:val="00510BE1"/>
    <w:rsid w:val="00510C04"/>
    <w:rsid w:val="0051328C"/>
    <w:rsid w:val="0051409D"/>
    <w:rsid w:val="005146CE"/>
    <w:rsid w:val="00520FE4"/>
    <w:rsid w:val="00521B7C"/>
    <w:rsid w:val="00521E85"/>
    <w:rsid w:val="00524802"/>
    <w:rsid w:val="005272A7"/>
    <w:rsid w:val="005357B2"/>
    <w:rsid w:val="005362A8"/>
    <w:rsid w:val="00540C4B"/>
    <w:rsid w:val="00543EEE"/>
    <w:rsid w:val="00545D71"/>
    <w:rsid w:val="005513D7"/>
    <w:rsid w:val="00554D02"/>
    <w:rsid w:val="00554DEB"/>
    <w:rsid w:val="00561C7E"/>
    <w:rsid w:val="00563C23"/>
    <w:rsid w:val="00564E38"/>
    <w:rsid w:val="005668E2"/>
    <w:rsid w:val="00566CD9"/>
    <w:rsid w:val="00570750"/>
    <w:rsid w:val="00572238"/>
    <w:rsid w:val="005728B4"/>
    <w:rsid w:val="00573A5A"/>
    <w:rsid w:val="00582474"/>
    <w:rsid w:val="00582E64"/>
    <w:rsid w:val="00583072"/>
    <w:rsid w:val="00586584"/>
    <w:rsid w:val="005920BE"/>
    <w:rsid w:val="005925F0"/>
    <w:rsid w:val="00593407"/>
    <w:rsid w:val="005A17F7"/>
    <w:rsid w:val="005A1F07"/>
    <w:rsid w:val="005A40EF"/>
    <w:rsid w:val="005A6E00"/>
    <w:rsid w:val="005A7235"/>
    <w:rsid w:val="005B1A13"/>
    <w:rsid w:val="005C1742"/>
    <w:rsid w:val="005C6EBC"/>
    <w:rsid w:val="005C7B4F"/>
    <w:rsid w:val="005D23C5"/>
    <w:rsid w:val="005D37B3"/>
    <w:rsid w:val="005D4803"/>
    <w:rsid w:val="005D79D8"/>
    <w:rsid w:val="005E1B43"/>
    <w:rsid w:val="005E56FA"/>
    <w:rsid w:val="005E615D"/>
    <w:rsid w:val="005E6168"/>
    <w:rsid w:val="005E6FAA"/>
    <w:rsid w:val="005F2132"/>
    <w:rsid w:val="005F48AD"/>
    <w:rsid w:val="005F5682"/>
    <w:rsid w:val="00603429"/>
    <w:rsid w:val="00611956"/>
    <w:rsid w:val="00611C94"/>
    <w:rsid w:val="006138F9"/>
    <w:rsid w:val="00621CC3"/>
    <w:rsid w:val="0062238A"/>
    <w:rsid w:val="00625AD6"/>
    <w:rsid w:val="0063095D"/>
    <w:rsid w:val="006320BF"/>
    <w:rsid w:val="0063409D"/>
    <w:rsid w:val="00635BE8"/>
    <w:rsid w:val="00637A57"/>
    <w:rsid w:val="00637B5B"/>
    <w:rsid w:val="006413F3"/>
    <w:rsid w:val="00645A95"/>
    <w:rsid w:val="00647256"/>
    <w:rsid w:val="00650B8E"/>
    <w:rsid w:val="00654B09"/>
    <w:rsid w:val="006564E4"/>
    <w:rsid w:val="006622B2"/>
    <w:rsid w:val="0066337A"/>
    <w:rsid w:val="006675E0"/>
    <w:rsid w:val="00667820"/>
    <w:rsid w:val="0067049F"/>
    <w:rsid w:val="0067069B"/>
    <w:rsid w:val="0067316F"/>
    <w:rsid w:val="00673860"/>
    <w:rsid w:val="006740C2"/>
    <w:rsid w:val="006761CD"/>
    <w:rsid w:val="00676DB2"/>
    <w:rsid w:val="00681F26"/>
    <w:rsid w:val="00682950"/>
    <w:rsid w:val="00685A2E"/>
    <w:rsid w:val="006873CB"/>
    <w:rsid w:val="00691585"/>
    <w:rsid w:val="00693C48"/>
    <w:rsid w:val="0069403A"/>
    <w:rsid w:val="00694134"/>
    <w:rsid w:val="0069506A"/>
    <w:rsid w:val="006977CF"/>
    <w:rsid w:val="006A051A"/>
    <w:rsid w:val="006A068E"/>
    <w:rsid w:val="006A7BE0"/>
    <w:rsid w:val="006B0935"/>
    <w:rsid w:val="006B2955"/>
    <w:rsid w:val="006B2F6E"/>
    <w:rsid w:val="006B52D5"/>
    <w:rsid w:val="006C171B"/>
    <w:rsid w:val="006C213D"/>
    <w:rsid w:val="006C3EF9"/>
    <w:rsid w:val="006C54F3"/>
    <w:rsid w:val="006C6C2C"/>
    <w:rsid w:val="006C7AFC"/>
    <w:rsid w:val="006D0536"/>
    <w:rsid w:val="006D0F4E"/>
    <w:rsid w:val="006D2203"/>
    <w:rsid w:val="006D2FC5"/>
    <w:rsid w:val="006D50C5"/>
    <w:rsid w:val="006D5ED0"/>
    <w:rsid w:val="006D7299"/>
    <w:rsid w:val="006E0F18"/>
    <w:rsid w:val="006E33F8"/>
    <w:rsid w:val="006E6665"/>
    <w:rsid w:val="006E7F1C"/>
    <w:rsid w:val="006F372A"/>
    <w:rsid w:val="006F56E4"/>
    <w:rsid w:val="006F592F"/>
    <w:rsid w:val="006F6AC6"/>
    <w:rsid w:val="00700AF7"/>
    <w:rsid w:val="00707FE5"/>
    <w:rsid w:val="00711215"/>
    <w:rsid w:val="00712BB0"/>
    <w:rsid w:val="0071407A"/>
    <w:rsid w:val="0071470F"/>
    <w:rsid w:val="0071655B"/>
    <w:rsid w:val="0072060B"/>
    <w:rsid w:val="00721EB7"/>
    <w:rsid w:val="0072623C"/>
    <w:rsid w:val="00726DD1"/>
    <w:rsid w:val="007273C2"/>
    <w:rsid w:val="00731F15"/>
    <w:rsid w:val="00733CCA"/>
    <w:rsid w:val="00735764"/>
    <w:rsid w:val="00736E78"/>
    <w:rsid w:val="007403B0"/>
    <w:rsid w:val="00740688"/>
    <w:rsid w:val="00744032"/>
    <w:rsid w:val="00751C0A"/>
    <w:rsid w:val="0075508B"/>
    <w:rsid w:val="00756F62"/>
    <w:rsid w:val="007579E6"/>
    <w:rsid w:val="00757C5C"/>
    <w:rsid w:val="007649AB"/>
    <w:rsid w:val="00764C1E"/>
    <w:rsid w:val="0077013B"/>
    <w:rsid w:val="00770D82"/>
    <w:rsid w:val="00771D32"/>
    <w:rsid w:val="007737E0"/>
    <w:rsid w:val="007749C1"/>
    <w:rsid w:val="00775F86"/>
    <w:rsid w:val="007769BD"/>
    <w:rsid w:val="00782FA5"/>
    <w:rsid w:val="00790B43"/>
    <w:rsid w:val="0079302A"/>
    <w:rsid w:val="007937E7"/>
    <w:rsid w:val="00795B4B"/>
    <w:rsid w:val="00795E0B"/>
    <w:rsid w:val="007971C2"/>
    <w:rsid w:val="007A3C9D"/>
    <w:rsid w:val="007A3F4A"/>
    <w:rsid w:val="007A56BF"/>
    <w:rsid w:val="007A5872"/>
    <w:rsid w:val="007A6EF3"/>
    <w:rsid w:val="007A7260"/>
    <w:rsid w:val="007B240B"/>
    <w:rsid w:val="007B31FE"/>
    <w:rsid w:val="007C142B"/>
    <w:rsid w:val="007C18C4"/>
    <w:rsid w:val="007C4D96"/>
    <w:rsid w:val="007C7952"/>
    <w:rsid w:val="007D164D"/>
    <w:rsid w:val="007D16A4"/>
    <w:rsid w:val="007D27FA"/>
    <w:rsid w:val="007D503D"/>
    <w:rsid w:val="007D5586"/>
    <w:rsid w:val="007D73C7"/>
    <w:rsid w:val="007E0D88"/>
    <w:rsid w:val="007E1C7D"/>
    <w:rsid w:val="007E28B2"/>
    <w:rsid w:val="007E3AC7"/>
    <w:rsid w:val="007E4E27"/>
    <w:rsid w:val="007E6EE4"/>
    <w:rsid w:val="007F2EBE"/>
    <w:rsid w:val="007F410B"/>
    <w:rsid w:val="00801B19"/>
    <w:rsid w:val="0080429F"/>
    <w:rsid w:val="00804CB4"/>
    <w:rsid w:val="0080512F"/>
    <w:rsid w:val="00814BFE"/>
    <w:rsid w:val="0081671B"/>
    <w:rsid w:val="0081696E"/>
    <w:rsid w:val="00817432"/>
    <w:rsid w:val="008229EB"/>
    <w:rsid w:val="008231DB"/>
    <w:rsid w:val="008237C5"/>
    <w:rsid w:val="00823A98"/>
    <w:rsid w:val="00825A30"/>
    <w:rsid w:val="00826CE7"/>
    <w:rsid w:val="00831430"/>
    <w:rsid w:val="008345C1"/>
    <w:rsid w:val="00835BA1"/>
    <w:rsid w:val="00836014"/>
    <w:rsid w:val="00840A2A"/>
    <w:rsid w:val="00841CB4"/>
    <w:rsid w:val="008451AE"/>
    <w:rsid w:val="00851100"/>
    <w:rsid w:val="00852E64"/>
    <w:rsid w:val="008536CE"/>
    <w:rsid w:val="00856306"/>
    <w:rsid w:val="008564BD"/>
    <w:rsid w:val="00864582"/>
    <w:rsid w:val="00866E16"/>
    <w:rsid w:val="00874556"/>
    <w:rsid w:val="008837F2"/>
    <w:rsid w:val="00883B17"/>
    <w:rsid w:val="00884FEB"/>
    <w:rsid w:val="008852AC"/>
    <w:rsid w:val="008916D0"/>
    <w:rsid w:val="008B0719"/>
    <w:rsid w:val="008B28F3"/>
    <w:rsid w:val="008B3CFD"/>
    <w:rsid w:val="008B4D79"/>
    <w:rsid w:val="008C032D"/>
    <w:rsid w:val="008C1887"/>
    <w:rsid w:val="008C4ADC"/>
    <w:rsid w:val="008C4DBC"/>
    <w:rsid w:val="008D0A5A"/>
    <w:rsid w:val="008D55D7"/>
    <w:rsid w:val="008E0D3E"/>
    <w:rsid w:val="008E4735"/>
    <w:rsid w:val="008E6241"/>
    <w:rsid w:val="008F267C"/>
    <w:rsid w:val="008F4A79"/>
    <w:rsid w:val="008F4E80"/>
    <w:rsid w:val="00901D4C"/>
    <w:rsid w:val="009038FA"/>
    <w:rsid w:val="009053FF"/>
    <w:rsid w:val="00906054"/>
    <w:rsid w:val="0091288D"/>
    <w:rsid w:val="00913CEF"/>
    <w:rsid w:val="009142F1"/>
    <w:rsid w:val="00917320"/>
    <w:rsid w:val="00922A37"/>
    <w:rsid w:val="00925CAD"/>
    <w:rsid w:val="00925F0F"/>
    <w:rsid w:val="009435E3"/>
    <w:rsid w:val="00951862"/>
    <w:rsid w:val="0095479F"/>
    <w:rsid w:val="0096117A"/>
    <w:rsid w:val="00962C14"/>
    <w:rsid w:val="00965EB1"/>
    <w:rsid w:val="009667A2"/>
    <w:rsid w:val="009669BE"/>
    <w:rsid w:val="00966A91"/>
    <w:rsid w:val="00970533"/>
    <w:rsid w:val="009736D6"/>
    <w:rsid w:val="00974A74"/>
    <w:rsid w:val="00975E5A"/>
    <w:rsid w:val="00977B08"/>
    <w:rsid w:val="009858AE"/>
    <w:rsid w:val="00987BD5"/>
    <w:rsid w:val="00992C89"/>
    <w:rsid w:val="00993692"/>
    <w:rsid w:val="00997507"/>
    <w:rsid w:val="009A02F2"/>
    <w:rsid w:val="009A06D9"/>
    <w:rsid w:val="009A1A11"/>
    <w:rsid w:val="009A329A"/>
    <w:rsid w:val="009A533B"/>
    <w:rsid w:val="009B1574"/>
    <w:rsid w:val="009B5C39"/>
    <w:rsid w:val="009B643A"/>
    <w:rsid w:val="009C0CFA"/>
    <w:rsid w:val="009C2197"/>
    <w:rsid w:val="009C50D1"/>
    <w:rsid w:val="009C52E2"/>
    <w:rsid w:val="009C7EE9"/>
    <w:rsid w:val="009D07F3"/>
    <w:rsid w:val="009D12C1"/>
    <w:rsid w:val="009D250E"/>
    <w:rsid w:val="009D36E9"/>
    <w:rsid w:val="009D45A7"/>
    <w:rsid w:val="009D570D"/>
    <w:rsid w:val="009D7240"/>
    <w:rsid w:val="009D7595"/>
    <w:rsid w:val="009E1BA4"/>
    <w:rsid w:val="009E433A"/>
    <w:rsid w:val="009F26F2"/>
    <w:rsid w:val="009F2A7C"/>
    <w:rsid w:val="009F3D1C"/>
    <w:rsid w:val="009F5F31"/>
    <w:rsid w:val="009F7AC1"/>
    <w:rsid w:val="00A01120"/>
    <w:rsid w:val="00A02125"/>
    <w:rsid w:val="00A030C9"/>
    <w:rsid w:val="00A033A4"/>
    <w:rsid w:val="00A04E55"/>
    <w:rsid w:val="00A06F29"/>
    <w:rsid w:val="00A07966"/>
    <w:rsid w:val="00A07993"/>
    <w:rsid w:val="00A1344C"/>
    <w:rsid w:val="00A14753"/>
    <w:rsid w:val="00A14FCF"/>
    <w:rsid w:val="00A15C16"/>
    <w:rsid w:val="00A1652E"/>
    <w:rsid w:val="00A16837"/>
    <w:rsid w:val="00A2150D"/>
    <w:rsid w:val="00A22CED"/>
    <w:rsid w:val="00A22FA7"/>
    <w:rsid w:val="00A23B29"/>
    <w:rsid w:val="00A25F52"/>
    <w:rsid w:val="00A260AC"/>
    <w:rsid w:val="00A35FB3"/>
    <w:rsid w:val="00A379EB"/>
    <w:rsid w:val="00A37A28"/>
    <w:rsid w:val="00A46172"/>
    <w:rsid w:val="00A51BC1"/>
    <w:rsid w:val="00A53565"/>
    <w:rsid w:val="00A53D77"/>
    <w:rsid w:val="00A55189"/>
    <w:rsid w:val="00A5573A"/>
    <w:rsid w:val="00A57CDA"/>
    <w:rsid w:val="00A60489"/>
    <w:rsid w:val="00A66C86"/>
    <w:rsid w:val="00A66FC7"/>
    <w:rsid w:val="00A75D6A"/>
    <w:rsid w:val="00A7652E"/>
    <w:rsid w:val="00A76C0A"/>
    <w:rsid w:val="00A828C5"/>
    <w:rsid w:val="00A837F7"/>
    <w:rsid w:val="00A879AF"/>
    <w:rsid w:val="00A90B27"/>
    <w:rsid w:val="00A9202A"/>
    <w:rsid w:val="00A97823"/>
    <w:rsid w:val="00AA072D"/>
    <w:rsid w:val="00AA27B5"/>
    <w:rsid w:val="00AA60E1"/>
    <w:rsid w:val="00AA72B7"/>
    <w:rsid w:val="00AB3658"/>
    <w:rsid w:val="00AB63EE"/>
    <w:rsid w:val="00AB6AAF"/>
    <w:rsid w:val="00AB753A"/>
    <w:rsid w:val="00AC16C5"/>
    <w:rsid w:val="00AC26F7"/>
    <w:rsid w:val="00AC557E"/>
    <w:rsid w:val="00AC75C1"/>
    <w:rsid w:val="00AD0D9F"/>
    <w:rsid w:val="00AD2D3A"/>
    <w:rsid w:val="00AD40FF"/>
    <w:rsid w:val="00AD6BF3"/>
    <w:rsid w:val="00AD7C3E"/>
    <w:rsid w:val="00AE27EE"/>
    <w:rsid w:val="00AE2CAC"/>
    <w:rsid w:val="00AF0D40"/>
    <w:rsid w:val="00AF210B"/>
    <w:rsid w:val="00AF3B33"/>
    <w:rsid w:val="00B01132"/>
    <w:rsid w:val="00B042C7"/>
    <w:rsid w:val="00B07EA6"/>
    <w:rsid w:val="00B11178"/>
    <w:rsid w:val="00B202E6"/>
    <w:rsid w:val="00B25109"/>
    <w:rsid w:val="00B27E2E"/>
    <w:rsid w:val="00B305EC"/>
    <w:rsid w:val="00B3306F"/>
    <w:rsid w:val="00B36D05"/>
    <w:rsid w:val="00B403CA"/>
    <w:rsid w:val="00B410CD"/>
    <w:rsid w:val="00B41C28"/>
    <w:rsid w:val="00B42BA0"/>
    <w:rsid w:val="00B43E2F"/>
    <w:rsid w:val="00B44205"/>
    <w:rsid w:val="00B4517C"/>
    <w:rsid w:val="00B4519B"/>
    <w:rsid w:val="00B52417"/>
    <w:rsid w:val="00B52637"/>
    <w:rsid w:val="00B53112"/>
    <w:rsid w:val="00B5454D"/>
    <w:rsid w:val="00B55571"/>
    <w:rsid w:val="00B55D45"/>
    <w:rsid w:val="00B563F5"/>
    <w:rsid w:val="00B56E41"/>
    <w:rsid w:val="00B60305"/>
    <w:rsid w:val="00B61ECD"/>
    <w:rsid w:val="00B63CF4"/>
    <w:rsid w:val="00B641A5"/>
    <w:rsid w:val="00B64319"/>
    <w:rsid w:val="00B660CF"/>
    <w:rsid w:val="00B67D03"/>
    <w:rsid w:val="00B707BB"/>
    <w:rsid w:val="00B70B55"/>
    <w:rsid w:val="00B72B9A"/>
    <w:rsid w:val="00B7372B"/>
    <w:rsid w:val="00B751D2"/>
    <w:rsid w:val="00B75776"/>
    <w:rsid w:val="00B7771D"/>
    <w:rsid w:val="00B81A71"/>
    <w:rsid w:val="00B862AE"/>
    <w:rsid w:val="00B87527"/>
    <w:rsid w:val="00B9039A"/>
    <w:rsid w:val="00B9311C"/>
    <w:rsid w:val="00B969ED"/>
    <w:rsid w:val="00BA0303"/>
    <w:rsid w:val="00BA2966"/>
    <w:rsid w:val="00BA2BFA"/>
    <w:rsid w:val="00BA300E"/>
    <w:rsid w:val="00BA4CAB"/>
    <w:rsid w:val="00BB114E"/>
    <w:rsid w:val="00BB2899"/>
    <w:rsid w:val="00BB3583"/>
    <w:rsid w:val="00BB3892"/>
    <w:rsid w:val="00BC0C3C"/>
    <w:rsid w:val="00BC216B"/>
    <w:rsid w:val="00BC7551"/>
    <w:rsid w:val="00BC7AC3"/>
    <w:rsid w:val="00BD2291"/>
    <w:rsid w:val="00BD2CC2"/>
    <w:rsid w:val="00BD3022"/>
    <w:rsid w:val="00BD776A"/>
    <w:rsid w:val="00BE2C82"/>
    <w:rsid w:val="00BE3A9B"/>
    <w:rsid w:val="00BE3CE5"/>
    <w:rsid w:val="00BE5237"/>
    <w:rsid w:val="00BE5B12"/>
    <w:rsid w:val="00BF1CAE"/>
    <w:rsid w:val="00BF1D6C"/>
    <w:rsid w:val="00BF390C"/>
    <w:rsid w:val="00BF3B99"/>
    <w:rsid w:val="00BF71D2"/>
    <w:rsid w:val="00BF7CEC"/>
    <w:rsid w:val="00BF7D01"/>
    <w:rsid w:val="00C0093E"/>
    <w:rsid w:val="00C05D08"/>
    <w:rsid w:val="00C061D2"/>
    <w:rsid w:val="00C07471"/>
    <w:rsid w:val="00C07485"/>
    <w:rsid w:val="00C07591"/>
    <w:rsid w:val="00C16AF6"/>
    <w:rsid w:val="00C202D7"/>
    <w:rsid w:val="00C22132"/>
    <w:rsid w:val="00C25AA6"/>
    <w:rsid w:val="00C268DC"/>
    <w:rsid w:val="00C2715B"/>
    <w:rsid w:val="00C31AFA"/>
    <w:rsid w:val="00C35303"/>
    <w:rsid w:val="00C36082"/>
    <w:rsid w:val="00C42BC4"/>
    <w:rsid w:val="00C43351"/>
    <w:rsid w:val="00C5071C"/>
    <w:rsid w:val="00C51211"/>
    <w:rsid w:val="00C52858"/>
    <w:rsid w:val="00C52A05"/>
    <w:rsid w:val="00C55263"/>
    <w:rsid w:val="00C55F7A"/>
    <w:rsid w:val="00C572AD"/>
    <w:rsid w:val="00C63544"/>
    <w:rsid w:val="00C7002E"/>
    <w:rsid w:val="00C726CB"/>
    <w:rsid w:val="00C74F54"/>
    <w:rsid w:val="00C824FC"/>
    <w:rsid w:val="00C82C42"/>
    <w:rsid w:val="00C83C61"/>
    <w:rsid w:val="00C8763C"/>
    <w:rsid w:val="00C902A7"/>
    <w:rsid w:val="00C90666"/>
    <w:rsid w:val="00C91667"/>
    <w:rsid w:val="00C93975"/>
    <w:rsid w:val="00C95696"/>
    <w:rsid w:val="00C96677"/>
    <w:rsid w:val="00C96D09"/>
    <w:rsid w:val="00CA0CCD"/>
    <w:rsid w:val="00CA2848"/>
    <w:rsid w:val="00CA356E"/>
    <w:rsid w:val="00CA3BDE"/>
    <w:rsid w:val="00CA7099"/>
    <w:rsid w:val="00CA7B8E"/>
    <w:rsid w:val="00CB0A47"/>
    <w:rsid w:val="00CB1494"/>
    <w:rsid w:val="00CB2D16"/>
    <w:rsid w:val="00CB67EA"/>
    <w:rsid w:val="00CC107E"/>
    <w:rsid w:val="00CC12F2"/>
    <w:rsid w:val="00CC2C3D"/>
    <w:rsid w:val="00CC4EDF"/>
    <w:rsid w:val="00CC51A7"/>
    <w:rsid w:val="00CD238A"/>
    <w:rsid w:val="00CD28CD"/>
    <w:rsid w:val="00CD3411"/>
    <w:rsid w:val="00CD3B28"/>
    <w:rsid w:val="00CD45F6"/>
    <w:rsid w:val="00CD4860"/>
    <w:rsid w:val="00CD5474"/>
    <w:rsid w:val="00CE2598"/>
    <w:rsid w:val="00CE25BF"/>
    <w:rsid w:val="00CE3103"/>
    <w:rsid w:val="00CE5725"/>
    <w:rsid w:val="00CE762E"/>
    <w:rsid w:val="00CF1CE8"/>
    <w:rsid w:val="00D026F7"/>
    <w:rsid w:val="00D027F7"/>
    <w:rsid w:val="00D03F6F"/>
    <w:rsid w:val="00D04B08"/>
    <w:rsid w:val="00D04C63"/>
    <w:rsid w:val="00D07571"/>
    <w:rsid w:val="00D15891"/>
    <w:rsid w:val="00D21BCF"/>
    <w:rsid w:val="00D24B3B"/>
    <w:rsid w:val="00D25B2C"/>
    <w:rsid w:val="00D268E7"/>
    <w:rsid w:val="00D26CF3"/>
    <w:rsid w:val="00D270E7"/>
    <w:rsid w:val="00D276AA"/>
    <w:rsid w:val="00D30897"/>
    <w:rsid w:val="00D30FA1"/>
    <w:rsid w:val="00D31056"/>
    <w:rsid w:val="00D316D7"/>
    <w:rsid w:val="00D34C83"/>
    <w:rsid w:val="00D36555"/>
    <w:rsid w:val="00D369F0"/>
    <w:rsid w:val="00D405E1"/>
    <w:rsid w:val="00D41933"/>
    <w:rsid w:val="00D4371D"/>
    <w:rsid w:val="00D44685"/>
    <w:rsid w:val="00D4527D"/>
    <w:rsid w:val="00D47774"/>
    <w:rsid w:val="00D47B34"/>
    <w:rsid w:val="00D531E7"/>
    <w:rsid w:val="00D534AF"/>
    <w:rsid w:val="00D53585"/>
    <w:rsid w:val="00D53C84"/>
    <w:rsid w:val="00D5651D"/>
    <w:rsid w:val="00D56A46"/>
    <w:rsid w:val="00D575A2"/>
    <w:rsid w:val="00D63B32"/>
    <w:rsid w:val="00D659E5"/>
    <w:rsid w:val="00D65B03"/>
    <w:rsid w:val="00D66AC7"/>
    <w:rsid w:val="00D70715"/>
    <w:rsid w:val="00D716C8"/>
    <w:rsid w:val="00D732C3"/>
    <w:rsid w:val="00D74300"/>
    <w:rsid w:val="00D766ED"/>
    <w:rsid w:val="00D80817"/>
    <w:rsid w:val="00D829E8"/>
    <w:rsid w:val="00D831CD"/>
    <w:rsid w:val="00D846C6"/>
    <w:rsid w:val="00D851EE"/>
    <w:rsid w:val="00D86C4D"/>
    <w:rsid w:val="00D9034C"/>
    <w:rsid w:val="00D91222"/>
    <w:rsid w:val="00D93903"/>
    <w:rsid w:val="00DA1947"/>
    <w:rsid w:val="00DA1B3F"/>
    <w:rsid w:val="00DA2500"/>
    <w:rsid w:val="00DA2ED3"/>
    <w:rsid w:val="00DA5334"/>
    <w:rsid w:val="00DA5A6E"/>
    <w:rsid w:val="00DA6267"/>
    <w:rsid w:val="00DA6A79"/>
    <w:rsid w:val="00DB6251"/>
    <w:rsid w:val="00DB6D14"/>
    <w:rsid w:val="00DB75A5"/>
    <w:rsid w:val="00DC0A76"/>
    <w:rsid w:val="00DC1C86"/>
    <w:rsid w:val="00DC2B7A"/>
    <w:rsid w:val="00DC52D7"/>
    <w:rsid w:val="00DD22F6"/>
    <w:rsid w:val="00DD2A05"/>
    <w:rsid w:val="00DD45FF"/>
    <w:rsid w:val="00DD4C66"/>
    <w:rsid w:val="00DD4F7B"/>
    <w:rsid w:val="00DE0067"/>
    <w:rsid w:val="00DE2703"/>
    <w:rsid w:val="00DE2ABD"/>
    <w:rsid w:val="00DE3973"/>
    <w:rsid w:val="00DE43F4"/>
    <w:rsid w:val="00DE4577"/>
    <w:rsid w:val="00DE4E1E"/>
    <w:rsid w:val="00DE6D11"/>
    <w:rsid w:val="00DE7517"/>
    <w:rsid w:val="00DF0DDF"/>
    <w:rsid w:val="00DF150D"/>
    <w:rsid w:val="00DF3C7D"/>
    <w:rsid w:val="00DF3E82"/>
    <w:rsid w:val="00E0281A"/>
    <w:rsid w:val="00E02877"/>
    <w:rsid w:val="00E04AB9"/>
    <w:rsid w:val="00E05AD0"/>
    <w:rsid w:val="00E06AE4"/>
    <w:rsid w:val="00E06C8E"/>
    <w:rsid w:val="00E06D20"/>
    <w:rsid w:val="00E1121D"/>
    <w:rsid w:val="00E11E4F"/>
    <w:rsid w:val="00E13FD3"/>
    <w:rsid w:val="00E16B32"/>
    <w:rsid w:val="00E170F3"/>
    <w:rsid w:val="00E22C49"/>
    <w:rsid w:val="00E300FB"/>
    <w:rsid w:val="00E31B76"/>
    <w:rsid w:val="00E3294A"/>
    <w:rsid w:val="00E32DBF"/>
    <w:rsid w:val="00E339CD"/>
    <w:rsid w:val="00E37822"/>
    <w:rsid w:val="00E43798"/>
    <w:rsid w:val="00E456CB"/>
    <w:rsid w:val="00E5014A"/>
    <w:rsid w:val="00E530F9"/>
    <w:rsid w:val="00E53447"/>
    <w:rsid w:val="00E546CA"/>
    <w:rsid w:val="00E569FF"/>
    <w:rsid w:val="00E6692F"/>
    <w:rsid w:val="00E66E8E"/>
    <w:rsid w:val="00E73F2D"/>
    <w:rsid w:val="00E74D7F"/>
    <w:rsid w:val="00E76799"/>
    <w:rsid w:val="00E81576"/>
    <w:rsid w:val="00E90C3B"/>
    <w:rsid w:val="00E9115C"/>
    <w:rsid w:val="00E92FCA"/>
    <w:rsid w:val="00E94F1D"/>
    <w:rsid w:val="00EA0C25"/>
    <w:rsid w:val="00EA13EC"/>
    <w:rsid w:val="00EA1A96"/>
    <w:rsid w:val="00EA249E"/>
    <w:rsid w:val="00EA313F"/>
    <w:rsid w:val="00EA3E1C"/>
    <w:rsid w:val="00EB0034"/>
    <w:rsid w:val="00EB0E9F"/>
    <w:rsid w:val="00EB30E2"/>
    <w:rsid w:val="00EB408B"/>
    <w:rsid w:val="00EB4CD1"/>
    <w:rsid w:val="00EC0366"/>
    <w:rsid w:val="00EC2208"/>
    <w:rsid w:val="00EC2A04"/>
    <w:rsid w:val="00EC30E3"/>
    <w:rsid w:val="00EC3FFA"/>
    <w:rsid w:val="00EC4C5C"/>
    <w:rsid w:val="00EC63D4"/>
    <w:rsid w:val="00ED38D7"/>
    <w:rsid w:val="00EE465F"/>
    <w:rsid w:val="00EE529B"/>
    <w:rsid w:val="00EE5E61"/>
    <w:rsid w:val="00EE7E6C"/>
    <w:rsid w:val="00EF3814"/>
    <w:rsid w:val="00EF386B"/>
    <w:rsid w:val="00EF61F5"/>
    <w:rsid w:val="00F01772"/>
    <w:rsid w:val="00F07255"/>
    <w:rsid w:val="00F11075"/>
    <w:rsid w:val="00F11C35"/>
    <w:rsid w:val="00F12A08"/>
    <w:rsid w:val="00F17717"/>
    <w:rsid w:val="00F2180C"/>
    <w:rsid w:val="00F21B0F"/>
    <w:rsid w:val="00F22029"/>
    <w:rsid w:val="00F22608"/>
    <w:rsid w:val="00F227D2"/>
    <w:rsid w:val="00F23C80"/>
    <w:rsid w:val="00F2682C"/>
    <w:rsid w:val="00F269C1"/>
    <w:rsid w:val="00F31699"/>
    <w:rsid w:val="00F31B9C"/>
    <w:rsid w:val="00F31BC4"/>
    <w:rsid w:val="00F324EE"/>
    <w:rsid w:val="00F339AF"/>
    <w:rsid w:val="00F33F29"/>
    <w:rsid w:val="00F36BD0"/>
    <w:rsid w:val="00F37A43"/>
    <w:rsid w:val="00F37CDC"/>
    <w:rsid w:val="00F403BC"/>
    <w:rsid w:val="00F44A08"/>
    <w:rsid w:val="00F51BFB"/>
    <w:rsid w:val="00F53B2F"/>
    <w:rsid w:val="00F53C93"/>
    <w:rsid w:val="00F55C33"/>
    <w:rsid w:val="00F56FEA"/>
    <w:rsid w:val="00F57076"/>
    <w:rsid w:val="00F606DF"/>
    <w:rsid w:val="00F60B5A"/>
    <w:rsid w:val="00F625CA"/>
    <w:rsid w:val="00F65382"/>
    <w:rsid w:val="00F67817"/>
    <w:rsid w:val="00F764C8"/>
    <w:rsid w:val="00F76672"/>
    <w:rsid w:val="00F77480"/>
    <w:rsid w:val="00F77E38"/>
    <w:rsid w:val="00F806F0"/>
    <w:rsid w:val="00F816FE"/>
    <w:rsid w:val="00F84290"/>
    <w:rsid w:val="00F8554E"/>
    <w:rsid w:val="00F86EF3"/>
    <w:rsid w:val="00F914C3"/>
    <w:rsid w:val="00F92A54"/>
    <w:rsid w:val="00F92F51"/>
    <w:rsid w:val="00F94E57"/>
    <w:rsid w:val="00F95566"/>
    <w:rsid w:val="00FA09F6"/>
    <w:rsid w:val="00FA670D"/>
    <w:rsid w:val="00FA6F4B"/>
    <w:rsid w:val="00FA7505"/>
    <w:rsid w:val="00FB2563"/>
    <w:rsid w:val="00FB41A5"/>
    <w:rsid w:val="00FB456D"/>
    <w:rsid w:val="00FC4090"/>
    <w:rsid w:val="00FC4C94"/>
    <w:rsid w:val="00FC540D"/>
    <w:rsid w:val="00FC610B"/>
    <w:rsid w:val="00FD2239"/>
    <w:rsid w:val="00FE033E"/>
    <w:rsid w:val="00FE244A"/>
    <w:rsid w:val="00FE6111"/>
    <w:rsid w:val="00FE6E09"/>
    <w:rsid w:val="00FF0B07"/>
    <w:rsid w:val="00FF3BDE"/>
    <w:rsid w:val="00FF5430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218F"/>
  <w14:defaultImageDpi w14:val="32767"/>
  <w15:chartTrackingRefBased/>
  <w15:docId w15:val="{2B6855C1-3607-254B-9995-6C93D27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2BFA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20"/>
  </w:style>
  <w:style w:type="paragraph" w:styleId="Footer">
    <w:name w:val="footer"/>
    <w:basedOn w:val="Normal"/>
    <w:link w:val="Foot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20"/>
  </w:style>
  <w:style w:type="table" w:styleId="TableGrid">
    <w:name w:val="Table Grid"/>
    <w:basedOn w:val="TableNormal"/>
    <w:uiPriority w:val="39"/>
    <w:rsid w:val="00DB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2BFA"/>
    <w:rPr>
      <w:rFonts w:ascii="Times New Roman" w:eastAsia="Times New Roman" w:hAnsi="Times New Roman" w:cs="Times New Roman"/>
      <w:sz w:val="28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0162E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62E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3D"/>
    <w:rPr>
      <w:rFonts w:ascii="Segoe UI" w:hAnsi="Segoe UI" w:cs="Segoe UI"/>
      <w:sz w:val="18"/>
      <w:szCs w:val="18"/>
    </w:rPr>
  </w:style>
  <w:style w:type="paragraph" w:customStyle="1" w:styleId="AegeanNormal">
    <w:name w:val="Aegean Normal"/>
    <w:basedOn w:val="Normal"/>
    <w:link w:val="AegeanNormalChar"/>
    <w:autoRedefine/>
    <w:qFormat/>
    <w:rsid w:val="0013314D"/>
    <w:pPr>
      <w:spacing w:after="240" w:line="276" w:lineRule="auto"/>
      <w:ind w:right="6"/>
      <w:jc w:val="both"/>
    </w:pPr>
    <w:rPr>
      <w:rFonts w:ascii="Calibri" w:hAnsi="Calibri"/>
      <w:color w:val="243587"/>
      <w:sz w:val="22"/>
      <w:szCs w:val="19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674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0C2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6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7F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8A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E43798"/>
  </w:style>
  <w:style w:type="paragraph" w:styleId="Revision">
    <w:name w:val="Revision"/>
    <w:hidden/>
    <w:uiPriority w:val="99"/>
    <w:semiHidden/>
    <w:rsid w:val="00E43798"/>
  </w:style>
  <w:style w:type="character" w:customStyle="1" w:styleId="AegeanNormalChar">
    <w:name w:val="Aegean Normal Char"/>
    <w:basedOn w:val="DefaultParagraphFont"/>
    <w:link w:val="AegeanNormal"/>
    <w:rsid w:val="0013314D"/>
    <w:rPr>
      <w:rFonts w:ascii="Calibri" w:hAnsi="Calibri"/>
      <w:color w:val="243587"/>
      <w:sz w:val="22"/>
      <w:szCs w:val="19"/>
      <w:lang w:val="el-GR"/>
    </w:rPr>
  </w:style>
  <w:style w:type="character" w:styleId="Emphasis">
    <w:name w:val="Emphasis"/>
    <w:basedOn w:val="DefaultParagraphFont"/>
    <w:uiPriority w:val="20"/>
    <w:qFormat/>
    <w:rsid w:val="00F36BD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0380"/>
    <w:rPr>
      <w:color w:val="954F72" w:themeColor="followedHyperlink"/>
      <w:u w:val="single"/>
    </w:rPr>
  </w:style>
  <w:style w:type="paragraph" w:customStyle="1" w:styleId="Default">
    <w:name w:val="Default"/>
    <w:rsid w:val="00082C95"/>
    <w:pPr>
      <w:autoSpaceDE w:val="0"/>
      <w:autoSpaceDN w:val="0"/>
      <w:adjustRightInd w:val="0"/>
    </w:pPr>
    <w:rPr>
      <w:rFonts w:ascii="Calibri" w:hAnsi="Calibri" w:cs="Calibri"/>
      <w:color w:val="000000"/>
      <w:lang w:val="el-GR"/>
    </w:rPr>
  </w:style>
  <w:style w:type="character" w:customStyle="1" w:styleId="ui-provider">
    <w:name w:val="ui-provider"/>
    <w:basedOn w:val="DefaultParagraphFont"/>
    <w:rsid w:val="00DD22F6"/>
  </w:style>
  <w:style w:type="paragraph" w:styleId="NormalWeb">
    <w:name w:val="Normal (Web)"/>
    <w:basedOn w:val="Normal"/>
    <w:uiPriority w:val="99"/>
    <w:semiHidden/>
    <w:unhideWhenUsed/>
    <w:rsid w:val="00DE2AB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23711838AA48BE0D44C1AA7ED9BB" ma:contentTypeVersion="30" ma:contentTypeDescription="Create a new document." ma:contentTypeScope="" ma:versionID="c7927cb44d34fd910dd61b4ed9ca5b3a">
  <xsd:schema xmlns:xsd="http://www.w3.org/2001/XMLSchema" xmlns:xs="http://www.w3.org/2001/XMLSchema" xmlns:p="http://schemas.microsoft.com/office/2006/metadata/properties" xmlns:ns2="bef9ce95-d731-4245-ac9f-3fdcfde03d2c" xmlns:ns3="bae7db81-8a76-49dc-873a-2cf985890e39" targetNamespace="http://schemas.microsoft.com/office/2006/metadata/properties" ma:root="true" ma:fieldsID="2fd08e126cf4fb91c87ca43d66a9ed9c" ns2:_="" ns3:_="">
    <xsd:import namespace="bef9ce95-d731-4245-ac9f-3fdcfde03d2c"/>
    <xsd:import namespace="bae7db81-8a76-49dc-873a-2cf985890e39"/>
    <xsd:element name="properties">
      <xsd:complexType>
        <xsd:sequence>
          <xsd:element name="documentManagement">
            <xsd:complexType>
              <xsd:all>
                <xsd:element ref="ns2:DocumentDate"/>
                <xsd:element ref="ns2:PublicDocument" minOccurs="0"/>
                <xsd:element ref="ns2:SDepartment"/>
                <xsd:element ref="ns2:Tag1" minOccurs="0"/>
                <xsd:element ref="ns2:Tag1_x003a_Title" minOccurs="0"/>
                <xsd:element ref="ns2:Tag1_x003a_ID" minOccurs="0"/>
                <xsd:element ref="ns2:Tag2" minOccurs="0"/>
                <xsd:element ref="ns2:Tag2_x003a_Title" minOccurs="0"/>
                <xsd:element ref="ns2:Tag2_x003a_ID" minOccurs="0"/>
                <xsd:element ref="ns2:Tag3" minOccurs="0"/>
                <xsd:element ref="ns2:Tag3_x003a_ID" minOccurs="0"/>
                <xsd:element ref="ns2:Tag3_x003a_Title" minOccurs="0"/>
                <xsd:element ref="ns3:SDepartment_x003a_Title" minOccurs="0"/>
                <xsd:element ref="ns3:SDepartment_x003a_SAPId" minOccurs="0"/>
                <xsd:element ref="ns3:SDepartment_x003a_ID" minOccurs="0"/>
                <xsd:element ref="ns2:SListSearchId" minOccurs="0"/>
                <xsd:element ref="ns2:SMDepartments" minOccurs="0"/>
                <xsd:element ref="ns3:SMDepartment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ce95-d731-4245-ac9f-3fdcfde03d2c" elementFormDefault="qualified">
    <xsd:import namespace="http://schemas.microsoft.com/office/2006/documentManagement/types"/>
    <xsd:import namespace="http://schemas.microsoft.com/office/infopath/2007/PartnerControls"/>
    <xsd:element name="DocumentDate" ma:index="8" ma:displayName="Document Date" ma:default="[today]" ma:format="DateOnly" ma:internalName="DocumentDate">
      <xsd:simpleType>
        <xsd:restriction base="dms:DateTime"/>
      </xsd:simpleType>
    </xsd:element>
    <xsd:element name="PublicDocument" ma:index="9" nillable="true" ma:displayName="Public Document" ma:default="1" ma:internalName="PublicDocument">
      <xsd:simpleType>
        <xsd:restriction base="dms:Boolean"/>
      </xsd:simpleType>
    </xsd:element>
    <xsd:element name="SDepartment" ma:index="10" ma:displayName="Department" ma:list="{6546078e-5d16-4dc2-8a5a-e55a99ec455c}" ma:internalName="SDepartment" ma:readOnly="false" ma:showField="Title" ma:web="bef9ce95-d731-4245-ac9f-3fdcfde03d2c">
      <xsd:simpleType>
        <xsd:restriction base="dms:Lookup"/>
      </xsd:simpleType>
    </xsd:element>
    <xsd:element name="Tag1" ma:index="11" nillable="true" ma:displayName="Tag1" ma:list="{44565704-0632-486c-bc36-93b79014d7ea}" ma:internalName="_x0054_ag1" ma:showField="Title" ma:web="bef9ce95-d731-4245-ac9f-3fdcfde03d2c">
      <xsd:simpleType>
        <xsd:restriction base="dms:Lookup"/>
      </xsd:simpleType>
    </xsd:element>
    <xsd:element name="Tag1_x003a_Title" ma:index="12" nillable="true" ma:displayName="Tag1:Title" ma:list="{44565704-0632-486c-bc36-93b79014d7ea}" ma:internalName="Tag1_x003A_Title" ma:readOnly="true" ma:showField="Title" ma:web="bef9ce95-d731-4245-ac9f-3fdcfde03d2c">
      <xsd:simpleType>
        <xsd:restriction base="dms:Lookup"/>
      </xsd:simpleType>
    </xsd:element>
    <xsd:element name="Tag1_x003a_ID" ma:index="13" nillable="true" ma:displayName="Tag1:ID" ma:list="{44565704-0632-486c-bc36-93b79014d7ea}" ma:internalName="Tag1_x003A_ID" ma:readOnly="true" ma:showField="ID" ma:web="bef9ce95-d731-4245-ac9f-3fdcfde03d2c">
      <xsd:simpleType>
        <xsd:restriction base="dms:Lookup"/>
      </xsd:simpleType>
    </xsd:element>
    <xsd:element name="Tag2" ma:index="14" nillable="true" ma:displayName="Tag2" ma:list="{44565704-0632-486c-bc36-93b79014d7ea}" ma:internalName="_x0054_ag2" ma:showField="Title" ma:web="bef9ce95-d731-4245-ac9f-3fdcfde03d2c">
      <xsd:simpleType>
        <xsd:restriction base="dms:Lookup"/>
      </xsd:simpleType>
    </xsd:element>
    <xsd:element name="Tag2_x003a_Title" ma:index="15" nillable="true" ma:displayName="Tag2:Title" ma:list="{44565704-0632-486c-bc36-93b79014d7ea}" ma:internalName="Tag2_x003A_Title" ma:readOnly="true" ma:showField="Title" ma:web="bef9ce95-d731-4245-ac9f-3fdcfde03d2c">
      <xsd:simpleType>
        <xsd:restriction base="dms:Lookup"/>
      </xsd:simpleType>
    </xsd:element>
    <xsd:element name="Tag2_x003a_ID" ma:index="16" nillable="true" ma:displayName="Tag2:ID" ma:list="{44565704-0632-486c-bc36-93b79014d7ea}" ma:internalName="Tag2_x003A_ID" ma:readOnly="true" ma:showField="ID" ma:web="bef9ce95-d731-4245-ac9f-3fdcfde03d2c">
      <xsd:simpleType>
        <xsd:restriction base="dms:Lookup"/>
      </xsd:simpleType>
    </xsd:element>
    <xsd:element name="Tag3" ma:index="17" nillable="true" ma:displayName="Tag3" ma:list="{44565704-0632-486c-bc36-93b79014d7ea}" ma:internalName="_x0054_ag3" ma:showField="Title" ma:web="bef9ce95-d731-4245-ac9f-3fdcfde03d2c">
      <xsd:simpleType>
        <xsd:restriction base="dms:Lookup"/>
      </xsd:simpleType>
    </xsd:element>
    <xsd:element name="Tag3_x003a_ID" ma:index="18" nillable="true" ma:displayName="Tag3:ID" ma:list="{44565704-0632-486c-bc36-93b79014d7ea}" ma:internalName="Tag3_x003A_ID" ma:readOnly="true" ma:showField="ID" ma:web="bef9ce95-d731-4245-ac9f-3fdcfde03d2c">
      <xsd:simpleType>
        <xsd:restriction base="dms:Lookup"/>
      </xsd:simpleType>
    </xsd:element>
    <xsd:element name="Tag3_x003a_Title" ma:index="19" nillable="true" ma:displayName="Tag3:Title" ma:list="{44565704-0632-486c-bc36-93b79014d7ea}" ma:internalName="Tag3_x003A_Title" ma:readOnly="true" ma:showField="Title" ma:web="bef9ce95-d731-4245-ac9f-3fdcfde03d2c">
      <xsd:simpleType>
        <xsd:restriction base="dms:Lookup"/>
      </xsd:simpleType>
    </xsd:element>
    <xsd:element name="SListSearchId" ma:index="23" nillable="true" ma:displayName="SListSearchId" ma:decimals="0" ma:default="3" ma:internalName="SListSearchId" ma:percentage="FALSE">
      <xsd:simpleType>
        <xsd:restriction base="dms:Number">
          <xsd:minInclusive value="0"/>
        </xsd:restriction>
      </xsd:simpleType>
    </xsd:element>
    <xsd:element name="SMDepartments" ma:index="24" nillable="true" ma:displayName="SMDepartments" ma:list="{6546078e-5d16-4dc2-8a5a-e55a99ec455c}" ma:internalName="SMDepartments" ma:readOnly="false" ma:showField="Title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7db81-8a76-49dc-873a-2cf985890e39" elementFormDefault="qualified">
    <xsd:import namespace="http://schemas.microsoft.com/office/2006/documentManagement/types"/>
    <xsd:import namespace="http://schemas.microsoft.com/office/infopath/2007/PartnerControls"/>
    <xsd:element name="SDepartment_x003a_Title" ma:index="20" nillable="true" ma:displayName="SDepartment:Title" ma:list="{6546078e-5d16-4dc2-8a5a-e55a99ec455c}" ma:internalName="SDepartment_x003a_Title" ma:readOnly="true" ma:showField="Title" ma:web="bef9ce95-d731-4245-ac9f-3fdcfde03d2c">
      <xsd:simpleType>
        <xsd:restriction base="dms:Lookup"/>
      </xsd:simpleType>
    </xsd:element>
    <xsd:element name="SDepartment_x003a_SAPId" ma:index="21" nillable="true" ma:displayName="SDepartment:SAPId" ma:list="{6546078e-5d16-4dc2-8a5a-e55a99ec455c}" ma:internalName="SDepartment_x003a_SAPId" ma:readOnly="true" ma:showField="SAPId" ma:web="bef9ce95-d731-4245-ac9f-3fdcfde03d2c">
      <xsd:simpleType>
        <xsd:restriction base="dms:Lookup"/>
      </xsd:simpleType>
    </xsd:element>
    <xsd:element name="SDepartment_x003a_ID" ma:index="22" nillable="true" ma:displayName="SDepartment:ID" ma:list="{6546078e-5d16-4dc2-8a5a-e55a99ec455c}" ma:internalName="SDepartment_x003a_ID" ma:readOnly="true" ma:showField="ID" ma:web="bef9ce95-d731-4245-ac9f-3fdcfde03d2c">
      <xsd:simpleType>
        <xsd:restriction base="dms:Lookup"/>
      </xsd:simpleType>
    </xsd:element>
    <xsd:element name="SMDepartments_x003a_ID" ma:index="25" nillable="true" ma:displayName="SMDepartments:ID" ma:list="{6546078e-5d16-4dc2-8a5a-e55a99ec455c}" ma:internalName="SMDepartments_x003a_ID" ma:readOnly="true" ma:showField="ID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epartment xmlns="bef9ce95-d731-4245-ac9f-3fdcfde03d2c">238</SDepartment>
    <SListSearchId xmlns="bef9ce95-d731-4245-ac9f-3fdcfde03d2c">3</SListSearchId>
    <Tag1 xmlns="bef9ce95-d731-4245-ac9f-3fdcfde03d2c">17</Tag1>
    <DocumentDate xmlns="bef9ce95-d731-4245-ac9f-3fdcfde03d2c">2021-10-12T21:00:00+00:00</DocumentDate>
    <Tag2 xmlns="bef9ce95-d731-4245-ac9f-3fdcfde03d2c" xsi:nil="true"/>
    <Tag3 xmlns="bef9ce95-d731-4245-ac9f-3fdcfde03d2c" xsi:nil="true"/>
    <SMDepartments xmlns="bef9ce95-d731-4245-ac9f-3fdcfde03d2c">
      <Value>238</Value>
    </SMDepartments>
    <PublicDocument xmlns="bef9ce95-d731-4245-ac9f-3fdcfde03d2c">true</PublicDocument>
  </documentManagement>
</p:properties>
</file>

<file path=customXml/itemProps1.xml><?xml version="1.0" encoding="utf-8"?>
<ds:datastoreItem xmlns:ds="http://schemas.openxmlformats.org/officeDocument/2006/customXml" ds:itemID="{F1751287-7C74-4DAE-A0FB-8220255AD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7C57A-039F-4AEC-BF24-1AF5C6BB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ce95-d731-4245-ac9f-3fdcfde03d2c"/>
    <ds:schemaRef ds:uri="bae7db81-8a76-49dc-873a-2cf98589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E132C-FC10-4F64-8730-4875610AA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B1ADB-F8FA-469C-A5EE-1B555EC69B85}">
  <ds:schemaRefs>
    <ds:schemaRef ds:uri="http://purl.org/dc/terms/"/>
    <ds:schemaRef ds:uri="bef9ce95-d731-4245-ac9f-3fdcfde03d2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ae7db81-8a76-49dc-873a-2cf985890e3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8</Pages>
  <Words>1987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Katelani Anthi</dc:creator>
  <cp:keywords/>
  <dc:description/>
  <cp:lastModifiedBy>Katelani Anthi</cp:lastModifiedBy>
  <cp:revision>36</cp:revision>
  <cp:lastPrinted>2025-09-16T14:04:00Z</cp:lastPrinted>
  <dcterms:created xsi:type="dcterms:W3CDTF">2025-09-10T09:23:00Z</dcterms:created>
  <dcterms:modified xsi:type="dcterms:W3CDTF">2025-09-16T14:16:00Z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0x0101003DC023711838AA48BE0D44C1AA7ED9BB</vt:lpwstr>
  </property>
  <property fmtid="{D5CDD505-2E9C-101B-9397-08002B2CF9AE}" pid="3" name="MSIP_Label_2af53a41-46d0-48d2-ac45-095a27a4bce1_Enabled">
    <vt:lpwstr>true</vt:lpwstr>
  </property>
  <property fmtid="{D5CDD505-2E9C-101B-9397-08002B2CF9AE}" pid="4" name="MSIP_Label_2af53a41-46d0-48d2-ac45-095a27a4bce1_SetDate">
    <vt:lpwstr>2024-08-29T12:21:58Z</vt:lpwstr>
  </property>
  <property fmtid="{D5CDD505-2E9C-101B-9397-08002B2CF9AE}" pid="5" name="MSIP_Label_2af53a41-46d0-48d2-ac45-095a27a4bce1_Method">
    <vt:lpwstr>Standard</vt:lpwstr>
  </property>
  <property fmtid="{D5CDD505-2E9C-101B-9397-08002B2CF9AE}" pid="6" name="MSIP_Label_2af53a41-46d0-48d2-ac45-095a27a4bce1_Name">
    <vt:lpwstr>2af53a41-46d0-48d2-ac45-095a27a4bce1</vt:lpwstr>
  </property>
  <property fmtid="{D5CDD505-2E9C-101B-9397-08002B2CF9AE}" pid="7" name="MSIP_Label_2af53a41-46d0-48d2-ac45-095a27a4bce1_SiteId">
    <vt:lpwstr>00ab5264-f7ed-4d89-9011-19bf33ed8169</vt:lpwstr>
  </property>
  <property fmtid="{D5CDD505-2E9C-101B-9397-08002B2CF9AE}" pid="8" name="MSIP_Label_2af53a41-46d0-48d2-ac45-095a27a4bce1_ActionId">
    <vt:lpwstr>48466f52-4325-43b0-942c-adb65e1d5f72</vt:lpwstr>
  </property>
  <property fmtid="{D5CDD505-2E9C-101B-9397-08002B2CF9AE}" pid="9" name="MSIP_Label_2af53a41-46d0-48d2-ac45-095a27a4bce1_ContentBits">
    <vt:lpwstr>0</vt:lpwstr>
  </property>
</Properties>
</file>